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left" w:pos="4365"/>
          <w:tab w:val="center" w:pos="4536"/>
          <w:tab w:val="center" w:pos="4882"/>
          <w:tab w:val="left" w:pos="7470"/>
        </w:tabs>
        <w:ind w:left="126"/>
        <w:rPr>
          <w:rFonts w:ascii="Times New Roman" w:hAnsi="Times New Roman" w:cs="Times New Roman"/>
          <w:smallCaps/>
          <w:sz w:val="20"/>
          <w:szCs w:val="20"/>
        </w:rPr>
      </w:pPr>
      <w:r>
        <w:rPr>
          <w:noProof/>
          <w:lang w:eastAsia="hu-H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2950210</wp:posOffset>
            </wp:positionH>
            <wp:positionV relativeFrom="margin">
              <wp:posOffset>-596900</wp:posOffset>
            </wp:positionV>
            <wp:extent cx="219075" cy="429260"/>
            <wp:effectExtent l="0" t="0" r="0" b="0"/>
            <wp:wrapSquare wrapText="bothSides"/>
            <wp:docPr id="20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-666750</wp:posOffset>
            </wp:positionH>
            <wp:positionV relativeFrom="paragraph">
              <wp:posOffset>-1153160</wp:posOffset>
            </wp:positionV>
            <wp:extent cx="3209925" cy="979170"/>
            <wp:effectExtent l="0" t="0" r="0" b="0"/>
            <wp:wrapNone/>
            <wp:docPr id="5" name="Kép 5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mallCaps/>
          <w:sz w:val="20"/>
          <w:szCs w:val="20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mallCaps/>
          <w:sz w:val="20"/>
          <w:szCs w:val="20"/>
        </w:rPr>
        <w:t>Fejér Vármegyei Kormányhivatal</w:t>
      </w:r>
      <w:r>
        <w:rPr>
          <w:rFonts w:ascii="Times New Roman" w:hAnsi="Times New Roman" w:cs="Times New Roman"/>
          <w:smallCaps/>
          <w:sz w:val="20"/>
          <w:szCs w:val="20"/>
        </w:rPr>
        <w:tab/>
      </w: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autoSpaceDE w:val="0"/>
        <w:autoSpaceDN w:val="0"/>
        <w:spacing w:after="0" w:line="240" w:lineRule="auto"/>
        <w:ind w:left="126"/>
        <w:jc w:val="center"/>
        <w:rPr>
          <w:rStyle w:val="Bodytext2"/>
          <w:b/>
        </w:rPr>
      </w:pPr>
    </w:p>
    <w:p>
      <w:pPr>
        <w:autoSpaceDE w:val="0"/>
        <w:autoSpaceDN w:val="0"/>
        <w:spacing w:after="0" w:line="240" w:lineRule="auto"/>
        <w:ind w:left="126"/>
        <w:jc w:val="center"/>
        <w:rPr>
          <w:rFonts w:ascii="Arial" w:eastAsia="MS Mincho" w:hAnsi="Arial" w:cs="Arial"/>
          <w:b/>
          <w:sz w:val="20"/>
          <w:szCs w:val="20"/>
        </w:rPr>
      </w:pPr>
      <w:proofErr w:type="gramStart"/>
      <w:r>
        <w:rPr>
          <w:rStyle w:val="Bodytext2"/>
          <w:b/>
        </w:rPr>
        <w:t>a</w:t>
      </w:r>
      <w:proofErr w:type="gramEnd"/>
      <w:r>
        <w:rPr>
          <w:rStyle w:val="Bodytext2"/>
          <w:b/>
        </w:rPr>
        <w:t xml:space="preserve"> TOP_PLUSZ-3.1.1-21-FE1-2022-00001 Szent István Program - Gazdaságfejlesztési és</w:t>
      </w:r>
      <w:r>
        <w:rPr>
          <w:rFonts w:ascii="Arial" w:hAnsi="Arial" w:cs="Arial"/>
          <w:b/>
          <w:sz w:val="20"/>
          <w:szCs w:val="20"/>
        </w:rPr>
        <w:t xml:space="preserve"> Foglalkoztatási Partnerség elnevezésű munkaerőpiaci programból </w:t>
      </w:r>
      <w:r>
        <w:rPr>
          <w:rFonts w:ascii="Arial" w:eastAsia="MS Mincho" w:hAnsi="Arial" w:cs="Arial"/>
          <w:b/>
          <w:sz w:val="20"/>
          <w:szCs w:val="20"/>
        </w:rPr>
        <w:t>nyújtott</w:t>
      </w:r>
    </w:p>
    <w:p>
      <w:pPr>
        <w:spacing w:after="0" w:line="240" w:lineRule="auto"/>
        <w:ind w:left="126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 xml:space="preserve">csoportmentességi rendelet  </w:t>
      </w:r>
      <w:proofErr w:type="gramStart"/>
      <w:r>
        <w:rPr>
          <w:rFonts w:ascii="Arial" w:hAnsi="Arial" w:cs="Arial"/>
          <w:b/>
          <w:caps/>
          <w:sz w:val="20"/>
          <w:szCs w:val="20"/>
        </w:rPr>
        <w:t>és</w:t>
      </w:r>
      <w:proofErr w:type="gramEnd"/>
      <w:r>
        <w:rPr>
          <w:rFonts w:ascii="Arial" w:hAnsi="Arial" w:cs="Arial"/>
          <w:b/>
          <w:caps/>
          <w:sz w:val="20"/>
          <w:szCs w:val="20"/>
        </w:rPr>
        <w:t xml:space="preserve"> de minimis rendelet szerint nyújtott</w:t>
      </w:r>
    </w:p>
    <w:p>
      <w:pPr>
        <w:spacing w:after="0" w:line="240" w:lineRule="auto"/>
        <w:ind w:left="126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bértámogatás</w:t>
      </w:r>
    </w:p>
    <w:p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0" w:name="ászf1"/>
      <w:r>
        <w:rPr>
          <w:rFonts w:ascii="Arial" w:hAnsi="Arial" w:cs="Arial"/>
          <w:b/>
          <w:sz w:val="20"/>
          <w:szCs w:val="20"/>
        </w:rPr>
        <w:t>ÁLTALÁNOS SZERZŐDÉSI FELTÉTELEI</w:t>
      </w:r>
      <w:bookmarkEnd w:id="0"/>
    </w:p>
    <w:p>
      <w:pPr>
        <w:spacing w:after="0" w:line="240" w:lineRule="auto"/>
        <w:jc w:val="center"/>
        <w:outlineLvl w:val="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(érvényes visszavonásáig)</w:t>
      </w:r>
    </w:p>
    <w:p>
      <w:pPr>
        <w:spacing w:after="0" w:line="240" w:lineRule="auto"/>
        <w:jc w:val="center"/>
        <w:outlineLvl w:val="0"/>
        <w:rPr>
          <w:rFonts w:ascii="Arial" w:eastAsia="MS Mincho" w:hAnsi="Arial" w:cs="Arial"/>
          <w:sz w:val="20"/>
          <w:szCs w:val="20"/>
        </w:rPr>
      </w:pPr>
    </w:p>
    <w:p>
      <w:pPr>
        <w:spacing w:after="0" w:line="240" w:lineRule="auto"/>
        <w:jc w:val="center"/>
        <w:outlineLvl w:val="0"/>
        <w:rPr>
          <w:rFonts w:ascii="Arial" w:eastAsia="MS Mincho" w:hAnsi="Arial" w:cs="Arial"/>
          <w:sz w:val="20"/>
          <w:szCs w:val="20"/>
        </w:rPr>
      </w:pPr>
    </w:p>
    <w:p>
      <w:pPr>
        <w:numPr>
          <w:ilvl w:val="0"/>
          <w:numId w:val="4"/>
        </w:numPr>
        <w:spacing w:after="0" w:line="240" w:lineRule="auto"/>
        <w:rPr>
          <w:rFonts w:ascii="Arial" w:eastAsia="MS Mincho" w:hAnsi="Arial" w:cs="Arial"/>
          <w:b/>
          <w:sz w:val="20"/>
          <w:szCs w:val="20"/>
        </w:rPr>
      </w:pPr>
      <w:r>
        <w:rPr>
          <w:rFonts w:ascii="Arial" w:eastAsia="MS Mincho" w:hAnsi="Arial" w:cs="Arial"/>
          <w:b/>
          <w:sz w:val="20"/>
          <w:szCs w:val="20"/>
        </w:rPr>
        <w:t>A támogatás nyújtásának alapjául szolgáló jogszabályi rendelkezések különösen:</w:t>
      </w:r>
    </w:p>
    <w:p>
      <w:pPr>
        <w:spacing w:after="0" w:line="240" w:lineRule="auto"/>
        <w:ind w:left="720"/>
        <w:jc w:val="both"/>
        <w:rPr>
          <w:rFonts w:ascii="Arial" w:eastAsia="MS Mincho" w:hAnsi="Arial" w:cs="Arial"/>
          <w:sz w:val="20"/>
          <w:szCs w:val="20"/>
        </w:rPr>
      </w:pPr>
    </w:p>
    <w:p>
      <w:pPr>
        <w:pStyle w:val="aj"/>
        <w:numPr>
          <w:ilvl w:val="0"/>
          <w:numId w:val="1"/>
        </w:numPr>
        <w:spacing w:beforeAutospacing="0" w:after="0" w:afterAutospacing="0"/>
        <w:ind w:left="714" w:hanging="357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a foglalkoztatást elősegítő szolgáltatásokról és támogatásokról, valamint a foglalkoztatás felügyeletéről szóló </w:t>
      </w:r>
      <w:hyperlink r:id="rId9">
        <w:r>
          <w:rPr>
            <w:rFonts w:ascii="Arial" w:eastAsiaTheme="minorHAnsi" w:hAnsi="Arial" w:cs="Arial"/>
            <w:sz w:val="20"/>
            <w:szCs w:val="20"/>
            <w:lang w:eastAsia="en-US"/>
          </w:rPr>
          <w:t>2020. évi CXXXV. törvény</w:t>
        </w:r>
      </w:hyperlink>
    </w:p>
    <w:p>
      <w:pPr>
        <w:numPr>
          <w:ilvl w:val="0"/>
          <w:numId w:val="1"/>
        </w:numPr>
        <w:spacing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 foglalkoztatást elősegítő szolgáltatásokról és támogatásokról szóló 100/2021. (II. 27.) Korm. rendelet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Szerződés 107. és 108. cikke alkalmazásában bizonyos támogatási </w:t>
      </w:r>
      <w:proofErr w:type="gramStart"/>
      <w:r>
        <w:rPr>
          <w:rFonts w:ascii="Arial" w:hAnsi="Arial" w:cs="Arial"/>
          <w:sz w:val="20"/>
          <w:szCs w:val="20"/>
        </w:rPr>
        <w:t>kategóriáknak</w:t>
      </w:r>
      <w:proofErr w:type="gramEnd"/>
      <w:r>
        <w:rPr>
          <w:rFonts w:ascii="Arial" w:hAnsi="Arial" w:cs="Arial"/>
          <w:sz w:val="20"/>
          <w:szCs w:val="20"/>
        </w:rPr>
        <w:t xml:space="preserve"> a belső piaccal összeegyeztethetőnek nyilvánításáról szóló a Bizottság 651/2014/EU Rendelete (2014. június 17.) (a továbbiakban: általános csoportmentességi rendelet)</w:t>
      </w:r>
      <w:r>
        <w:rPr>
          <w:rFonts w:ascii="Arial" w:eastAsia="MS Mincho" w:hAnsi="Arial" w:cs="Arial"/>
          <w:sz w:val="20"/>
          <w:szCs w:val="20"/>
        </w:rPr>
        <w:t>,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2013. december 18-i 1408/2013/EU bizottsági rendelet az Európai Unió működéséről szóló szerződés 107. és 108. cikkének a mezőgazdasági ágazatban nyújtott csekély összegű támogatásokra való alkalmazásáról (továbbiakban: mezőgazdasági de </w:t>
      </w:r>
      <w:proofErr w:type="spellStart"/>
      <w:r>
        <w:rPr>
          <w:rFonts w:ascii="Arial" w:hAnsi="Arial" w:cs="Arial"/>
          <w:sz w:val="20"/>
          <w:szCs w:val="20"/>
        </w:rPr>
        <w:t>minimis</w:t>
      </w:r>
      <w:proofErr w:type="spellEnd"/>
      <w:r>
        <w:rPr>
          <w:rFonts w:ascii="Arial" w:hAnsi="Arial" w:cs="Arial"/>
          <w:sz w:val="20"/>
          <w:szCs w:val="20"/>
        </w:rPr>
        <w:t xml:space="preserve"> rendelet)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2023. december 13-i (EU) 2023/2831 bizottsági rendelet az Európai Unió működéséről szóló szerződés 107. és 108. cikkének a csekély összegű támogatásokra való alkalmazásáról (továbbiakban: általános de </w:t>
      </w:r>
      <w:proofErr w:type="spellStart"/>
      <w:r>
        <w:rPr>
          <w:rFonts w:ascii="Arial" w:eastAsia="MS Mincho" w:hAnsi="Arial" w:cs="Arial"/>
          <w:sz w:val="20"/>
          <w:szCs w:val="20"/>
        </w:rPr>
        <w:t>minimis</w:t>
      </w:r>
      <w:proofErr w:type="spellEnd"/>
      <w:r>
        <w:rPr>
          <w:rFonts w:ascii="Arial" w:eastAsia="MS Mincho" w:hAnsi="Arial" w:cs="Arial"/>
          <w:sz w:val="20"/>
          <w:szCs w:val="20"/>
        </w:rPr>
        <w:t xml:space="preserve"> rendelet)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2023. december 13-i (EU) 2023/2832 bizottsági rendelet az Európai Unió működéséről szóló szerződés 107. és 108. cikkének az általános gazdasági érdekű szolgáltatást nyújtó vállalkozások számára nyújtott csekély összegű támogatásokra való alkalmazásáról</w:t>
      </w:r>
    </w:p>
    <w:p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az európai uniós versenyjogi értelemben vett állami támogatásokkal kapcsolatos eljárásról és a regionális támogatási térképről szóló 37/2011. (III. 22.) Korm. rendelet,</w:t>
      </w:r>
    </w:p>
    <w:p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egyes európai uniós alapokból származó támogatások felhasználásának rendjéről szóló 256/2021. (V.18.) Korm. rendelet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állami foglalkoztatási szerv, a munkavédelmi és munkaügyi hatóság kijelöléséről, valamint e szervek hatósági és más feladatainak ellátásáról szóló 320/2014. (XII. 13.) Korm. rendelet, 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az államháztartásról szóló 2011. évi CXCV. törvény (a továbbiakban: Áht.),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egyes adótörvények és azzal összefüggő egyéb törvények módosításáról szóló 2011. évi CLVI. törvény,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az államháztartásról szóló törvény végrehajtásáról szóló 368/2011. (XII. 31.) Korm. rendelet (a továbbiakban: </w:t>
      </w:r>
      <w:proofErr w:type="spellStart"/>
      <w:r>
        <w:rPr>
          <w:rFonts w:ascii="Arial" w:eastAsia="MS Mincho" w:hAnsi="Arial" w:cs="Arial"/>
          <w:sz w:val="20"/>
          <w:szCs w:val="20"/>
        </w:rPr>
        <w:t>Ávr</w:t>
      </w:r>
      <w:proofErr w:type="spellEnd"/>
      <w:r>
        <w:rPr>
          <w:rFonts w:ascii="Arial" w:eastAsia="MS Mincho" w:hAnsi="Arial" w:cs="Arial"/>
          <w:sz w:val="20"/>
          <w:szCs w:val="20"/>
        </w:rPr>
        <w:t>.),</w:t>
      </w:r>
    </w:p>
    <w:p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az általános közigazgatási rendtartásról szóló 2016. évi CL. törvény (a továbbiakban: </w:t>
      </w:r>
      <w:proofErr w:type="spellStart"/>
      <w:r>
        <w:rPr>
          <w:rFonts w:ascii="Arial" w:eastAsia="MS Mincho" w:hAnsi="Arial" w:cs="Arial"/>
          <w:sz w:val="20"/>
          <w:szCs w:val="20"/>
        </w:rPr>
        <w:t>Ákr</w:t>
      </w:r>
      <w:proofErr w:type="spellEnd"/>
      <w:r>
        <w:rPr>
          <w:rFonts w:ascii="Arial" w:eastAsia="MS Mincho" w:hAnsi="Arial" w:cs="Arial"/>
          <w:sz w:val="20"/>
          <w:szCs w:val="20"/>
        </w:rPr>
        <w:t>.),</w:t>
      </w:r>
    </w:p>
    <w:p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 Polgári Törvénykönyvről szóló 2013. évi V. törvény (a továbbiakban: Ptk.),</w:t>
      </w:r>
    </w:p>
    <w:p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 munka törvénykönyvéről szóló 2012. évi I. törvény (a továbbiakban: Mt.),</w:t>
      </w:r>
    </w:p>
    <w:p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köztulajdonban álló gazdasági társaságok takarékosabb működéséről szóló 2009. évi CXXII. törvény,</w:t>
      </w:r>
    </w:p>
    <w:p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összevont adóalap adóját csökkentő kedvezmény igénybevétele szempontjából súlyos fogyatékosságnak minősülő betegségekről szóló 335/2009. (XII. 29.) Korm. rendelet,</w:t>
      </w:r>
    </w:p>
    <w:p>
      <w:pPr>
        <w:numPr>
          <w:ilvl w:val="0"/>
          <w:numId w:val="1"/>
        </w:numPr>
        <w:tabs>
          <w:tab w:val="clear" w:pos="720"/>
          <w:tab w:val="left" w:pos="6120"/>
        </w:tabs>
        <w:spacing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 kis- és középvállalkozásokról, fejlődésük támogatásáról szóló 2004. évi XXXIV. törvény,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egyéni vállalkozóról és az egyéni cégről szóló 2009. évi CXV. törvény (a továbbiakban: </w:t>
      </w:r>
      <w:proofErr w:type="spellStart"/>
      <w:r>
        <w:rPr>
          <w:rFonts w:ascii="Arial" w:hAnsi="Arial" w:cs="Arial"/>
          <w:sz w:val="20"/>
          <w:szCs w:val="20"/>
        </w:rPr>
        <w:t>Evt</w:t>
      </w:r>
      <w:proofErr w:type="spellEnd"/>
      <w:r>
        <w:rPr>
          <w:rFonts w:ascii="Arial" w:hAnsi="Arial" w:cs="Arial"/>
          <w:sz w:val="20"/>
          <w:szCs w:val="20"/>
        </w:rPr>
        <w:t>.)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állami foglalkoztatási szervként eljáró járási (fővárosi kerületi) hivatalok általánostól eltérő illetékességi területéről szóló 67/2015. (III. 30.) Korm. rendelet,</w:t>
      </w:r>
    </w:p>
    <w:p>
      <w:pPr>
        <w:pStyle w:val="Listaszerbekezds"/>
        <w:numPr>
          <w:ilvl w:val="0"/>
          <w:numId w:val="1"/>
        </w:numPr>
        <w:rPr>
          <w:rFonts w:ascii="Arial" w:eastAsia="MS Mincho" w:hAnsi="Arial" w:cs="Arial"/>
          <w:sz w:val="20"/>
          <w:szCs w:val="20"/>
          <w:lang w:eastAsia="en-US"/>
        </w:rPr>
      </w:pPr>
      <w:r>
        <w:rPr>
          <w:rFonts w:ascii="Arial" w:eastAsia="MS Mincho" w:hAnsi="Arial" w:cs="Arial"/>
          <w:sz w:val="20"/>
          <w:szCs w:val="20"/>
          <w:lang w:eastAsia="en-US"/>
        </w:rPr>
        <w:t>a foglalkoztatás-felügyeleti hatóság tevékenységéről szóló 115/2021. (III. 10.) Korm. rendelet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fővárosi és vármegyei kormányhivatalokról, valamint a járási (fővárosi kerületi) hivatalokról szóló </w:t>
      </w:r>
      <w:r>
        <w:rPr>
          <w:rStyle w:val="Bodytext2"/>
          <w:color w:val="000000"/>
        </w:rPr>
        <w:t xml:space="preserve">568/2022. (XII. 23.) </w:t>
      </w:r>
      <w:r>
        <w:rPr>
          <w:rFonts w:ascii="Arial" w:hAnsi="Arial" w:cs="Arial"/>
          <w:sz w:val="20"/>
          <w:szCs w:val="20"/>
        </w:rPr>
        <w:t>Korm. rendelet,</w:t>
      </w:r>
    </w:p>
    <w:p>
      <w:pPr>
        <w:rPr>
          <w:rFonts w:ascii="Arial" w:eastAsia="MS Mincho" w:hAnsi="Arial" w:cs="Arial"/>
          <w:sz w:val="20"/>
          <w:szCs w:val="20"/>
        </w:rPr>
      </w:pPr>
    </w:p>
    <w:p>
      <w:pPr>
        <w:numPr>
          <w:ilvl w:val="0"/>
          <w:numId w:val="1"/>
        </w:numPr>
        <w:spacing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lastRenderedPageBreak/>
        <w:t>a 2021–2027 programozási időszakra rendelt források felhasználására vonatkozó uniós versenyjogi értelemben vett állami támogatási szabályokról szóló 638/2023. (XII.28.) Korm. rendelet</w:t>
      </w:r>
    </w:p>
    <w:p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ind w:left="360" w:hanging="360"/>
        <w:rPr>
          <w:rFonts w:ascii="Arial" w:eastAsia="MS Mincho" w:hAnsi="Arial" w:cs="Arial"/>
          <w:sz w:val="20"/>
          <w:szCs w:val="20"/>
        </w:rPr>
      </w:pPr>
    </w:p>
    <w:p>
      <w:pPr>
        <w:spacing w:after="0" w:line="240" w:lineRule="auto"/>
        <w:ind w:left="357" w:hanging="357"/>
        <w:rPr>
          <w:rFonts w:ascii="Arial" w:eastAsia="MS Mincho" w:hAnsi="Arial" w:cs="Arial"/>
          <w:b/>
          <w:sz w:val="20"/>
          <w:szCs w:val="20"/>
        </w:rPr>
      </w:pPr>
      <w:r>
        <w:rPr>
          <w:rFonts w:ascii="Arial" w:eastAsia="MS Mincho" w:hAnsi="Arial" w:cs="Arial"/>
          <w:b/>
          <w:sz w:val="20"/>
          <w:szCs w:val="20"/>
        </w:rPr>
        <w:t>II.</w:t>
      </w:r>
      <w:r>
        <w:rPr>
          <w:rFonts w:ascii="Arial" w:eastAsia="MS Mincho" w:hAnsi="Arial" w:cs="Arial"/>
          <w:b/>
          <w:sz w:val="20"/>
          <w:szCs w:val="20"/>
        </w:rPr>
        <w:tab/>
      </w:r>
      <w:proofErr w:type="gramStart"/>
      <w:r>
        <w:rPr>
          <w:rFonts w:ascii="Arial" w:eastAsia="MS Mincho" w:hAnsi="Arial" w:cs="Arial"/>
          <w:b/>
          <w:sz w:val="20"/>
          <w:szCs w:val="20"/>
        </w:rPr>
        <w:t>A</w:t>
      </w:r>
      <w:proofErr w:type="gramEnd"/>
      <w:r>
        <w:rPr>
          <w:rFonts w:ascii="Arial" w:eastAsia="MS Mincho" w:hAnsi="Arial" w:cs="Arial"/>
          <w:b/>
          <w:sz w:val="20"/>
          <w:szCs w:val="20"/>
        </w:rPr>
        <w:t xml:space="preserve"> munkáltató kötelezettségei</w:t>
      </w:r>
    </w:p>
    <w:p>
      <w:pPr>
        <w:spacing w:after="0" w:line="240" w:lineRule="auto"/>
        <w:ind w:left="357" w:hanging="357"/>
        <w:rPr>
          <w:rFonts w:ascii="Arial" w:eastAsia="MS Mincho" w:hAnsi="Arial" w:cs="Arial"/>
          <w:b/>
          <w:sz w:val="20"/>
          <w:szCs w:val="20"/>
        </w:rPr>
      </w:pPr>
    </w:p>
    <w:p>
      <w:pPr>
        <w:spacing w:after="0" w:line="240" w:lineRule="auto"/>
        <w:ind w:left="357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 munkáltató vállalja, hogy</w:t>
      </w:r>
    </w:p>
    <w:p>
      <w:pPr>
        <w:numPr>
          <w:ilvl w:val="0"/>
          <w:numId w:val="5"/>
        </w:numPr>
        <w:spacing w:before="60"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 támogatással felvett dolgozót a támogatás folyósításának időtartama alatt foglalkoztatja (továbbiakban: foglalkoztatási kötelezettség);</w:t>
      </w:r>
    </w:p>
    <w:p>
      <w:pPr>
        <w:numPr>
          <w:ilvl w:val="0"/>
          <w:numId w:val="5"/>
        </w:numPr>
        <w:spacing w:before="60"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a foglalkoztatási kötelezettség időtartama alatt olyan személyi nyilvántartásokat vezet, melyekből a munkaerő-forgalom (be- és kilépés), valamint a kilépések (munkaviszony megszűnésének) okai </w:t>
      </w:r>
      <w:proofErr w:type="spellStart"/>
      <w:r>
        <w:rPr>
          <w:rFonts w:ascii="Arial" w:eastAsia="MS Mincho" w:hAnsi="Arial" w:cs="Arial"/>
          <w:sz w:val="20"/>
          <w:szCs w:val="20"/>
        </w:rPr>
        <w:t>megállapíthatóak</w:t>
      </w:r>
      <w:proofErr w:type="spellEnd"/>
      <w:r>
        <w:rPr>
          <w:rFonts w:ascii="Arial" w:eastAsia="MS Mincho" w:hAnsi="Arial" w:cs="Arial"/>
          <w:sz w:val="20"/>
          <w:szCs w:val="20"/>
        </w:rPr>
        <w:t>;</w:t>
      </w:r>
    </w:p>
    <w:p>
      <w:pPr>
        <w:numPr>
          <w:ilvl w:val="0"/>
          <w:numId w:val="5"/>
        </w:numPr>
        <w:spacing w:before="60"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 kormányhivatal, a közreműködő szervezet, az Irányító Hatóság, a programot felügyelő minisztérium, a kormányzati ellenőrzési szervek, a Magyar Államkincstár, az Állami Számvevőszék, a kifizető, az igazoló és az ellenőrzési hatóság, az Európai Támogatásokat Auditáló Főigazgatóság, az Európai Bizottság és az Európai Számvevőszék képviselőjének ellenőrzésekor az ahhoz szükséges iratokat és adatokat haladéktalanul rendelkezésre bocsátja;</w:t>
      </w:r>
    </w:p>
    <w:p>
      <w:pPr>
        <w:numPr>
          <w:ilvl w:val="0"/>
          <w:numId w:val="5"/>
        </w:numPr>
        <w:spacing w:before="60"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bankszámlaszámának megváltoztatásáról a járási hivatalt haladéktalanul, de legkésőbb a tudomására jutásától számított nyolc napon belül tájékoztatja;</w:t>
      </w:r>
    </w:p>
    <w:p>
      <w:pPr>
        <w:numPr>
          <w:ilvl w:val="0"/>
          <w:numId w:val="5"/>
        </w:numPr>
        <w:spacing w:before="60"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 tulajdonos (munkáltató) változást a járási hivatal állami foglalkoztatási szervként eljáró egységének haladéktalanul, de legkésőbb a tudomásra jutástól számított nyolc napon belül bejelenti (a munkáltató személyében bekövetkezett változás megállapítását az átvevő munkáltató az eljárásról való tudomásszerzéstől számított tizenöt napon belül, de legkésőbb a változástól számított hat hónapon belül kérheti). Az átvevő munkáltató egyoldalú írásbeli nyilatkozatban vállalja a támogatás jogszabályban, valamint a hatósági szerződésben meghatározott feltételeinek teljesítését.</w:t>
      </w:r>
    </w:p>
    <w:p>
      <w:pPr>
        <w:numPr>
          <w:ilvl w:val="0"/>
          <w:numId w:val="5"/>
        </w:numPr>
        <w:spacing w:before="60"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a foglalkoztatási kötelezettség időtartamának lejárta után – a járási hivatal megkeresésére – a támogatási eszköz hatékonyságának a vizsgálatához </w:t>
      </w:r>
      <w:proofErr w:type="gramStart"/>
      <w:r>
        <w:rPr>
          <w:rFonts w:ascii="Arial" w:eastAsia="MS Mincho" w:hAnsi="Arial" w:cs="Arial"/>
          <w:sz w:val="20"/>
          <w:szCs w:val="20"/>
        </w:rPr>
        <w:t>információt</w:t>
      </w:r>
      <w:proofErr w:type="gramEnd"/>
      <w:r>
        <w:rPr>
          <w:rFonts w:ascii="Arial" w:eastAsia="MS Mincho" w:hAnsi="Arial" w:cs="Arial"/>
          <w:sz w:val="20"/>
          <w:szCs w:val="20"/>
        </w:rPr>
        <w:t xml:space="preserve"> szolgáltat;</w:t>
      </w:r>
    </w:p>
    <w:p>
      <w:pPr>
        <w:numPr>
          <w:ilvl w:val="0"/>
          <w:numId w:val="5"/>
        </w:numPr>
        <w:spacing w:before="60"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a számlavezető </w:t>
      </w:r>
      <w:proofErr w:type="gramStart"/>
      <w:r>
        <w:rPr>
          <w:rFonts w:ascii="Arial" w:eastAsia="MS Mincho" w:hAnsi="Arial" w:cs="Arial"/>
          <w:sz w:val="20"/>
          <w:szCs w:val="20"/>
        </w:rPr>
        <w:t>pénzintézete(</w:t>
      </w:r>
      <w:proofErr w:type="gramEnd"/>
      <w:r>
        <w:rPr>
          <w:rFonts w:ascii="Arial" w:eastAsia="MS Mincho" w:hAnsi="Arial" w:cs="Arial"/>
          <w:sz w:val="20"/>
          <w:szCs w:val="20"/>
        </w:rPr>
        <w:t>i) által záradékolt, beszedési megbízásra vonatkozó felhatalmazó levele(</w:t>
      </w:r>
      <w:proofErr w:type="spellStart"/>
      <w:r>
        <w:rPr>
          <w:rFonts w:ascii="Arial" w:eastAsia="MS Mincho" w:hAnsi="Arial" w:cs="Arial"/>
          <w:sz w:val="20"/>
          <w:szCs w:val="20"/>
        </w:rPr>
        <w:t>ke</w:t>
      </w:r>
      <w:proofErr w:type="spellEnd"/>
      <w:r>
        <w:rPr>
          <w:rFonts w:ascii="Arial" w:eastAsia="MS Mincho" w:hAnsi="Arial" w:cs="Arial"/>
          <w:sz w:val="20"/>
          <w:szCs w:val="20"/>
        </w:rPr>
        <w:t xml:space="preserve">)t a pénzügyi fedezethiány miatt nem teljesíthető fizetési megbízás esetére a követelés legfeljebb harmincöt napra való sorba állítására vonatkozó rendelkezéssel együtt legkésőbb az első Elszámoló lap benyújtásával egyidejűleg a támogatónak átadja. </w:t>
      </w:r>
      <w:r>
        <w:rPr>
          <w:rFonts w:ascii="Arial" w:eastAsia="MS Mincho" w:hAnsi="Arial" w:cs="Arial"/>
          <w:i/>
          <w:sz w:val="20"/>
          <w:szCs w:val="20"/>
        </w:rPr>
        <w:t xml:space="preserve">A támogatás folyósításának feltétele a munkáltató </w:t>
      </w:r>
      <w:r>
        <w:rPr>
          <w:rFonts w:ascii="Arial" w:hAnsi="Arial" w:cs="Arial"/>
          <w:b/>
          <w:sz w:val="20"/>
          <w:szCs w:val="20"/>
        </w:rPr>
        <w:t xml:space="preserve">- </w:t>
      </w:r>
      <w:r>
        <w:rPr>
          <w:rStyle w:val="Kiemels2"/>
          <w:rFonts w:ascii="Arial" w:hAnsi="Arial" w:cs="Arial"/>
          <w:sz w:val="20"/>
          <w:szCs w:val="20"/>
        </w:rPr>
        <w:t>jogszabály alapján beszedési megbízással megterhelhető -</w:t>
      </w:r>
      <w:r>
        <w:rPr>
          <w:rFonts w:ascii="Arial" w:eastAsia="MS Mincho" w:hAnsi="Arial" w:cs="Arial"/>
          <w:i/>
          <w:sz w:val="20"/>
          <w:szCs w:val="20"/>
        </w:rPr>
        <w:t>valamennyi fizetési számlájára vonatkozó felhatalmazó levél becsatolása</w:t>
      </w:r>
      <w:r>
        <w:rPr>
          <w:rFonts w:ascii="Arial" w:eastAsia="MS Mincho" w:hAnsi="Arial" w:cs="Arial"/>
          <w:sz w:val="20"/>
          <w:szCs w:val="20"/>
        </w:rPr>
        <w:t xml:space="preserve">. </w:t>
      </w:r>
    </w:p>
    <w:p>
      <w:pPr>
        <w:spacing w:before="60" w:after="0" w:line="240" w:lineRule="auto"/>
        <w:ind w:left="720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A felhatalmazó levél mindaddig hatályos és érvényes, ameddig annak visszavonásáról a kedvezményezett és a támogató együttesen, cégszerűen aláírt jognyilatkozattal nem rendelkezik. Amennyiben a járási hivatal úgy dönt, hogy a felhatalmazó levél </w:t>
      </w:r>
      <w:proofErr w:type="spellStart"/>
      <w:r>
        <w:rPr>
          <w:rFonts w:ascii="Arial" w:eastAsia="MS Mincho" w:hAnsi="Arial" w:cs="Arial"/>
          <w:sz w:val="20"/>
          <w:szCs w:val="20"/>
        </w:rPr>
        <w:t>hatályosságának</w:t>
      </w:r>
      <w:proofErr w:type="spellEnd"/>
      <w:r>
        <w:rPr>
          <w:rFonts w:ascii="Arial" w:eastAsia="MS Mincho" w:hAnsi="Arial" w:cs="Arial"/>
          <w:sz w:val="20"/>
          <w:szCs w:val="20"/>
        </w:rPr>
        <w:t xml:space="preserve"> és érvényességének végét, a támogatási idő végében, vagy — amennyiben van — a foglalkoztatási idő lejáratától számított 90-120. napban határozza meg, a </w:t>
      </w:r>
      <w:proofErr w:type="gramStart"/>
      <w:r>
        <w:rPr>
          <w:rFonts w:ascii="Arial" w:eastAsia="MS Mincho" w:hAnsi="Arial" w:cs="Arial"/>
          <w:sz w:val="20"/>
          <w:szCs w:val="20"/>
        </w:rPr>
        <w:t>dátumot</w:t>
      </w:r>
      <w:proofErr w:type="gramEnd"/>
      <w:r>
        <w:rPr>
          <w:rFonts w:ascii="Arial" w:eastAsia="MS Mincho" w:hAnsi="Arial" w:cs="Arial"/>
          <w:sz w:val="20"/>
          <w:szCs w:val="20"/>
        </w:rPr>
        <w:t xml:space="preserve"> a felhatalmazó levélen rögzíti;</w:t>
      </w:r>
    </w:p>
    <w:p>
      <w:pPr>
        <w:numPr>
          <w:ilvl w:val="0"/>
          <w:numId w:val="5"/>
        </w:numPr>
        <w:spacing w:before="60"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 kérelem beadásakor tett nyilatkozatai a hatósági szerződés aláírásakor fennállnak;</w:t>
      </w:r>
    </w:p>
    <w:p>
      <w:pPr>
        <w:numPr>
          <w:ilvl w:val="0"/>
          <w:numId w:val="5"/>
        </w:numPr>
        <w:spacing w:before="60"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haladéktalanul, de legkésőbb a tudomására jutástól számított nyolc napon belül bejelenti, ha a támogatást megalapozó körülményeiben változás következik be.</w:t>
      </w:r>
    </w:p>
    <w:p>
      <w:pPr>
        <w:spacing w:after="0" w:line="240" w:lineRule="auto"/>
        <w:ind w:left="357"/>
        <w:jc w:val="both"/>
        <w:rPr>
          <w:rFonts w:ascii="Arial" w:eastAsia="MS Mincho" w:hAnsi="Arial" w:cs="Arial"/>
          <w:sz w:val="20"/>
          <w:szCs w:val="20"/>
        </w:rPr>
      </w:pPr>
    </w:p>
    <w:p>
      <w:pPr>
        <w:rPr>
          <w:rFonts w:ascii="Arial" w:eastAsia="MS Mincho" w:hAnsi="Arial" w:cs="Arial"/>
          <w:b/>
          <w:sz w:val="20"/>
          <w:szCs w:val="20"/>
        </w:rPr>
      </w:pPr>
      <w:r>
        <w:rPr>
          <w:rFonts w:ascii="Arial" w:eastAsia="MS Mincho" w:hAnsi="Arial" w:cs="Arial"/>
          <w:b/>
          <w:sz w:val="20"/>
          <w:szCs w:val="20"/>
        </w:rPr>
        <w:t>A munkáltató tudomásul veszi, hogy</w:t>
      </w:r>
    </w:p>
    <w:p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a támogatást csak a munkaerőigény bejelentésére, a </w:t>
      </w:r>
      <w:r>
        <w:rPr>
          <w:rFonts w:ascii="Arial" w:hAnsi="Arial" w:cs="Arial"/>
          <w:sz w:val="20"/>
          <w:szCs w:val="20"/>
        </w:rPr>
        <w:t>munkaerőpiaci program</w:t>
      </w:r>
      <w:r>
        <w:rPr>
          <w:rFonts w:ascii="Arial" w:eastAsia="MS Mincho" w:hAnsi="Arial" w:cs="Arial"/>
          <w:sz w:val="20"/>
          <w:szCs w:val="20"/>
        </w:rPr>
        <w:t xml:space="preserve"> keretében kiközvetített, a </w:t>
      </w:r>
      <w:r>
        <w:rPr>
          <w:rFonts w:ascii="Arial" w:hAnsi="Arial" w:cs="Arial"/>
          <w:sz w:val="20"/>
          <w:szCs w:val="20"/>
        </w:rPr>
        <w:t>munkaerőpiaci program</w:t>
      </w:r>
      <w:r>
        <w:rPr>
          <w:rFonts w:ascii="Arial" w:eastAsia="MS Mincho" w:hAnsi="Arial" w:cs="Arial"/>
          <w:sz w:val="20"/>
          <w:szCs w:val="20"/>
        </w:rPr>
        <w:t xml:space="preserve"> által előírt feltételeknek megfelelő álláskeresőre veheti igénybe;</w:t>
      </w:r>
    </w:p>
    <w:p>
      <w:pPr>
        <w:numPr>
          <w:ilvl w:val="0"/>
          <w:numId w:val="6"/>
        </w:numPr>
        <w:spacing w:before="60" w:after="0" w:line="240" w:lineRule="auto"/>
        <w:ind w:left="714"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amennyiben a tárgyhónapot követő hó 12. napjáig az esedékes havi támogatási igényét az Elszámoló lappal nem adja le, vagy hiányosan (pl. az Áht. 53. § szerinti szakmai beszámoló kitöltése nélkül) adja le, azt legkésőbb az eredetileg esedékes elszámolási határidő leteltét követő hónapban esedékes elszámolással egyidejűleg még megteheti. E határidő elmulasztása </w:t>
      </w:r>
      <w:r>
        <w:rPr>
          <w:rFonts w:ascii="Arial" w:eastAsia="MS Mincho" w:hAnsi="Arial" w:cs="Arial"/>
          <w:sz w:val="20"/>
          <w:szCs w:val="20"/>
        </w:rPr>
        <w:lastRenderedPageBreak/>
        <w:t xml:space="preserve">esetén az adott hónapra nem igényelt támogatás kifizetése megtagadásra kerül, erről a járási </w:t>
      </w:r>
      <w:proofErr w:type="gramStart"/>
      <w:r>
        <w:rPr>
          <w:rFonts w:ascii="Arial" w:eastAsia="MS Mincho" w:hAnsi="Arial" w:cs="Arial"/>
          <w:sz w:val="20"/>
          <w:szCs w:val="20"/>
        </w:rPr>
        <w:t>hivatal írásban</w:t>
      </w:r>
      <w:proofErr w:type="gramEnd"/>
      <w:r>
        <w:rPr>
          <w:rFonts w:ascii="Arial" w:eastAsia="MS Mincho" w:hAnsi="Arial" w:cs="Arial"/>
          <w:sz w:val="20"/>
          <w:szCs w:val="20"/>
        </w:rPr>
        <w:t xml:space="preserve"> értesíti a munkáltatót;</w:t>
      </w:r>
    </w:p>
    <w:p>
      <w:pPr>
        <w:spacing w:before="60"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elszámoláshoz az alábbi </w:t>
      </w:r>
      <w:proofErr w:type="gramStart"/>
      <w:r>
        <w:rPr>
          <w:rFonts w:ascii="Arial" w:hAnsi="Arial" w:cs="Arial"/>
          <w:sz w:val="20"/>
          <w:szCs w:val="20"/>
        </w:rPr>
        <w:t>dokumentumok</w:t>
      </w:r>
      <w:proofErr w:type="gramEnd"/>
      <w:r>
        <w:rPr>
          <w:rFonts w:ascii="Arial" w:hAnsi="Arial" w:cs="Arial"/>
          <w:sz w:val="20"/>
          <w:szCs w:val="20"/>
        </w:rPr>
        <w:t xml:space="preserve"> elektronikus megküldése szükséges, elektronikus aláírással és időbélyegzővel ellátva (nem elektronikus ügyintézés esetén a dokumentumok munkáltató által hitelesített másolatát szükséges csatolni)</w:t>
      </w:r>
      <w:r>
        <w:rPr>
          <w:rFonts w:ascii="Arial" w:hAnsi="Arial" w:cs="Arial"/>
          <w:b/>
          <w:sz w:val="20"/>
          <w:szCs w:val="20"/>
        </w:rPr>
        <w:t>:</w:t>
      </w:r>
    </w:p>
    <w:p>
      <w:pPr>
        <w:tabs>
          <w:tab w:val="left" w:pos="195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>
      <w:pPr>
        <w:numPr>
          <w:ilvl w:val="0"/>
          <w:numId w:val="10"/>
        </w:numPr>
        <w:spacing w:before="120" w:after="0" w:line="240" w:lineRule="auto"/>
        <w:ind w:left="1418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Bérjegyzék</w:t>
      </w:r>
      <w:r>
        <w:rPr>
          <w:rFonts w:ascii="Arial" w:hAnsi="Arial" w:cs="Arial"/>
          <w:sz w:val="20"/>
          <w:szCs w:val="20"/>
        </w:rPr>
        <w:t xml:space="preserve"> (vagy </w:t>
      </w:r>
      <w:proofErr w:type="gramStart"/>
      <w:r>
        <w:rPr>
          <w:rFonts w:ascii="Arial" w:hAnsi="Arial" w:cs="Arial"/>
          <w:sz w:val="20"/>
          <w:szCs w:val="20"/>
        </w:rPr>
        <w:t>bérlista</w:t>
      </w:r>
      <w:proofErr w:type="gramEnd"/>
      <w:r>
        <w:rPr>
          <w:rFonts w:ascii="Arial" w:hAnsi="Arial" w:cs="Arial"/>
          <w:sz w:val="20"/>
          <w:szCs w:val="20"/>
        </w:rPr>
        <w:t xml:space="preserve"> vagy bérszámfejtő lap)</w:t>
      </w:r>
    </w:p>
    <w:p>
      <w:pPr>
        <w:numPr>
          <w:ilvl w:val="0"/>
          <w:numId w:val="10"/>
        </w:numPr>
        <w:spacing w:before="60" w:after="0" w:line="240" w:lineRule="auto"/>
        <w:ind w:left="1418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bérkifizetését igazoló benyújtandó bizonylatok:</w:t>
      </w:r>
    </w:p>
    <w:p>
      <w:pPr>
        <w:numPr>
          <w:ilvl w:val="0"/>
          <w:numId w:val="14"/>
        </w:numPr>
        <w:spacing w:before="60" w:after="0" w:line="240" w:lineRule="auto"/>
        <w:ind w:left="1985" w:hanging="39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 átutalással kerül kifizetésre: terhelést igazoló bankszámlakivonat*</w:t>
      </w:r>
      <w:r>
        <w:rPr>
          <w:rStyle w:val="Lbjegyzet-hivatkozs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>. (Csoportos átutalás esetén szükséges az elszámoló lapon kitölteni, hogy a terhelési értesítőn szereplő összeg – az adott munkavállaló után ténylegesen befizetett összeg feltüntetésével – tartalmazza a támogatással érintett munkavállalónak kifizetett munkabért)</w:t>
      </w:r>
    </w:p>
    <w:p>
      <w:pPr>
        <w:numPr>
          <w:ilvl w:val="0"/>
          <w:numId w:val="14"/>
        </w:numPr>
        <w:spacing w:before="60" w:after="0" w:line="240" w:lineRule="auto"/>
        <w:ind w:left="1985" w:hanging="39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bér készpénzes kifizetése esetén: csatolandó a munkavállaló saját kezű aláírását és a kifizetés napját tartalmazó kiadási pénztárbizonylat, vagy ha a munkáltató nem kötelezett kiadási pénztárbizonylat alkalmazására, elegendő a munkavállaló átvételt igazoló saját kezű aláírása  a bérjegyzéken </w:t>
      </w:r>
      <w:proofErr w:type="gramStart"/>
      <w:r>
        <w:rPr>
          <w:rFonts w:ascii="Arial" w:hAnsi="Arial" w:cs="Arial"/>
          <w:sz w:val="20"/>
          <w:szCs w:val="20"/>
        </w:rPr>
        <w:t>dátummal</w:t>
      </w:r>
      <w:proofErr w:type="gramEnd"/>
      <w:r>
        <w:rPr>
          <w:rFonts w:ascii="Arial" w:hAnsi="Arial" w:cs="Arial"/>
          <w:sz w:val="20"/>
          <w:szCs w:val="20"/>
        </w:rPr>
        <w:t>, például „Az összeget átvettem” megjegyzéssel.</w:t>
      </w:r>
    </w:p>
    <w:p>
      <w:pPr>
        <w:numPr>
          <w:ilvl w:val="0"/>
          <w:numId w:val="10"/>
        </w:numPr>
        <w:spacing w:before="60" w:after="0" w:line="240" w:lineRule="auto"/>
        <w:ind w:left="1418" w:hanging="425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Amennyiben a bérjegyzékből, bérszámfejtő lapból nem derül ki a bérfizetés nélküli időszak, a </w:t>
      </w:r>
      <w:r>
        <w:rPr>
          <w:rFonts w:ascii="Arial" w:hAnsi="Arial" w:cs="Arial"/>
          <w:b/>
          <w:sz w:val="20"/>
          <w:szCs w:val="20"/>
        </w:rPr>
        <w:t xml:space="preserve">munkaidő-nyilvántartás (jelenléti ív) </w:t>
      </w:r>
      <w:r>
        <w:rPr>
          <w:rFonts w:ascii="Arial" w:hAnsi="Arial" w:cs="Arial"/>
          <w:sz w:val="20"/>
          <w:szCs w:val="20"/>
        </w:rPr>
        <w:t>is bekérhető.</w:t>
      </w:r>
    </w:p>
    <w:p>
      <w:pPr>
        <w:numPr>
          <w:ilvl w:val="0"/>
          <w:numId w:val="6"/>
        </w:numPr>
        <w:spacing w:before="60" w:after="0" w:line="240" w:lineRule="auto"/>
        <w:ind w:left="714"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 támogatással alkalmazott munkavállalót nem foglalkoztathatja az Mt. 53. §-a (a munkavállalónak átmenetileg a munkaszerződéstől eltérő munkakörben, munkahelyen vagy más munkáltatónál történő foglalkoztatása), vagy a 214. § (1) bekezdés a) pontja (munkaerő-kölcsönzés) szerint;</w:t>
      </w:r>
    </w:p>
    <w:p>
      <w:pPr>
        <w:numPr>
          <w:ilvl w:val="0"/>
          <w:numId w:val="6"/>
        </w:numPr>
        <w:spacing w:before="60"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részére támogatás nem folyósítható azon időszakra, amelyre a jogszabályok szerint munkabér, fizetési kötelezettség nem terheli; </w:t>
      </w:r>
    </w:p>
    <w:p>
      <w:pPr>
        <w:numPr>
          <w:ilvl w:val="0"/>
          <w:numId w:val="6"/>
        </w:numPr>
        <w:spacing w:before="60"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 támogatással foglalkoztatott munkavállaló előrelátható tartós távolléte és a munkaviszony megszűnése esetén a kieső személy nem pótolható.</w:t>
      </w:r>
    </w:p>
    <w:p>
      <w:pPr>
        <w:spacing w:after="0" w:line="240" w:lineRule="auto"/>
        <w:jc w:val="both"/>
        <w:rPr>
          <w:rFonts w:ascii="Arial" w:eastAsia="MS Mincho" w:hAnsi="Arial" w:cs="Arial"/>
          <w:sz w:val="20"/>
          <w:szCs w:val="20"/>
        </w:rPr>
      </w:pPr>
    </w:p>
    <w:p>
      <w:pPr>
        <w:spacing w:after="0" w:line="240" w:lineRule="auto"/>
        <w:ind w:left="357" w:hanging="357"/>
        <w:rPr>
          <w:rFonts w:ascii="Arial" w:eastAsia="MS Mincho" w:hAnsi="Arial" w:cs="Arial"/>
          <w:b/>
          <w:sz w:val="20"/>
          <w:szCs w:val="20"/>
        </w:rPr>
      </w:pPr>
      <w:r>
        <w:rPr>
          <w:rFonts w:ascii="Arial" w:eastAsia="MS Mincho" w:hAnsi="Arial" w:cs="Arial"/>
          <w:b/>
          <w:sz w:val="20"/>
          <w:szCs w:val="20"/>
        </w:rPr>
        <w:t>III.</w:t>
      </w:r>
      <w:r>
        <w:rPr>
          <w:rFonts w:ascii="Arial" w:eastAsia="MS Mincho" w:hAnsi="Arial" w:cs="Arial"/>
          <w:b/>
          <w:sz w:val="20"/>
          <w:szCs w:val="20"/>
        </w:rPr>
        <w:tab/>
      </w:r>
      <w:proofErr w:type="gramStart"/>
      <w:r>
        <w:rPr>
          <w:rFonts w:ascii="Arial" w:eastAsia="MS Mincho" w:hAnsi="Arial" w:cs="Arial"/>
          <w:b/>
          <w:sz w:val="20"/>
          <w:szCs w:val="20"/>
        </w:rPr>
        <w:t>A</w:t>
      </w:r>
      <w:proofErr w:type="gramEnd"/>
      <w:r>
        <w:rPr>
          <w:rFonts w:ascii="Arial" w:eastAsia="MS Mincho" w:hAnsi="Arial" w:cs="Arial"/>
          <w:b/>
          <w:sz w:val="20"/>
          <w:szCs w:val="20"/>
        </w:rPr>
        <w:t xml:space="preserve"> járási hivatal</w:t>
      </w:r>
    </w:p>
    <w:p>
      <w:pPr>
        <w:numPr>
          <w:ilvl w:val="0"/>
          <w:numId w:val="15"/>
        </w:numPr>
        <w:spacing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köteles a támogatás jogszabályi, továbbá a hatósági szerződésben részletezett támogatási feltételek teljesülése, illetve a munkáltatói kötelezettségek teljesítése esetén a támogatással érintett munkavállalók vonatkozásában a munkáltatónak a hatósági szerződés szerinti támogatást megfizetni;</w:t>
      </w:r>
    </w:p>
    <w:p>
      <w:pPr>
        <w:numPr>
          <w:ilvl w:val="0"/>
          <w:numId w:val="15"/>
        </w:numPr>
        <w:spacing w:before="60" w:after="0" w:line="240" w:lineRule="auto"/>
        <w:ind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 támogatást a munkáltató igénylése alapján az elszámolás hónapjának utolsó napjáig a munkáltató részére átutaltatja;</w:t>
      </w:r>
    </w:p>
    <w:p>
      <w:pPr>
        <w:numPr>
          <w:ilvl w:val="0"/>
          <w:numId w:val="15"/>
        </w:numPr>
        <w:spacing w:before="60" w:after="0" w:line="240" w:lineRule="auto"/>
        <w:ind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 munkáltató által megküldött elszámolást felülvizsgálja, s ennek során</w:t>
      </w:r>
    </w:p>
    <w:p>
      <w:pPr>
        <w:numPr>
          <w:ilvl w:val="1"/>
          <w:numId w:val="16"/>
        </w:numPr>
        <w:tabs>
          <w:tab w:val="left" w:pos="1072"/>
        </w:tabs>
        <w:spacing w:before="60" w:after="0" w:line="240" w:lineRule="auto"/>
        <w:ind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az igénylés jogszerűségét felülvizsgálja, a támogatottól a szükséges bizonylatokat bekéri, illetőleg a munkáltatónál tételes vizsgálatot (ellenőrzést) kezdeményez,</w:t>
      </w:r>
    </w:p>
    <w:p>
      <w:pPr>
        <w:numPr>
          <w:ilvl w:val="1"/>
          <w:numId w:val="16"/>
        </w:numPr>
        <w:spacing w:before="60" w:after="0" w:line="240" w:lineRule="auto"/>
        <w:ind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amennyiben a korábbi időszakokban túlfizetés történt, akkor ezzel az összeggel a fizetendő támogatási összeget csökkenteni kell;</w:t>
      </w:r>
    </w:p>
    <w:p>
      <w:pPr>
        <w:numPr>
          <w:ilvl w:val="0"/>
          <w:numId w:val="15"/>
        </w:numPr>
        <w:spacing w:before="60" w:after="0" w:line="240" w:lineRule="auto"/>
        <w:ind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jogosult arra, hogy a hatósági szerződésben foglaltakat, valamint a foglalkoztatási kötelezettség betartását folyamatosan ellenőrizze, illetve ellenőriztesse.</w:t>
      </w:r>
    </w:p>
    <w:p>
      <w:pPr>
        <w:spacing w:after="0" w:line="240" w:lineRule="auto"/>
        <w:ind w:left="641" w:hanging="284"/>
        <w:jc w:val="both"/>
        <w:rPr>
          <w:rFonts w:ascii="Arial" w:eastAsia="MS Mincho" w:hAnsi="Arial" w:cs="Arial"/>
          <w:sz w:val="20"/>
          <w:szCs w:val="20"/>
        </w:rPr>
      </w:pPr>
    </w:p>
    <w:p>
      <w:pPr>
        <w:spacing w:after="0" w:line="240" w:lineRule="auto"/>
        <w:ind w:left="720" w:hanging="720"/>
        <w:rPr>
          <w:rFonts w:ascii="Arial" w:eastAsia="MS Mincho" w:hAnsi="Arial" w:cs="Arial"/>
          <w:b/>
          <w:sz w:val="20"/>
          <w:szCs w:val="20"/>
        </w:rPr>
      </w:pPr>
      <w:r>
        <w:rPr>
          <w:rFonts w:ascii="Arial" w:eastAsia="MS Mincho" w:hAnsi="Arial" w:cs="Arial"/>
          <w:b/>
          <w:sz w:val="20"/>
          <w:szCs w:val="20"/>
        </w:rPr>
        <w:t xml:space="preserve">IV. </w:t>
      </w:r>
      <w:proofErr w:type="gramStart"/>
      <w:r>
        <w:rPr>
          <w:rFonts w:ascii="Arial" w:eastAsia="MS Mincho" w:hAnsi="Arial" w:cs="Arial"/>
          <w:b/>
          <w:sz w:val="20"/>
          <w:szCs w:val="20"/>
        </w:rPr>
        <w:t>A</w:t>
      </w:r>
      <w:proofErr w:type="gramEnd"/>
      <w:r>
        <w:rPr>
          <w:rFonts w:ascii="Arial" w:eastAsia="MS Mincho" w:hAnsi="Arial" w:cs="Arial"/>
          <w:b/>
          <w:sz w:val="20"/>
          <w:szCs w:val="20"/>
        </w:rPr>
        <w:t xml:space="preserve"> hatósági szerződés megszegésének következményei</w:t>
      </w:r>
    </w:p>
    <w:p>
      <w:pPr>
        <w:spacing w:after="0" w:line="240" w:lineRule="auto"/>
        <w:ind w:left="720" w:hanging="720"/>
        <w:rPr>
          <w:rFonts w:ascii="Arial" w:eastAsia="MS Mincho" w:hAnsi="Arial" w:cs="Arial"/>
          <w:b/>
          <w:sz w:val="20"/>
          <w:szCs w:val="20"/>
        </w:rPr>
      </w:pPr>
    </w:p>
    <w:p>
      <w:pPr>
        <w:numPr>
          <w:ilvl w:val="0"/>
          <w:numId w:val="3"/>
        </w:numPr>
        <w:tabs>
          <w:tab w:val="clear" w:pos="717"/>
          <w:tab w:val="left" w:pos="426"/>
          <w:tab w:val="right" w:pos="8820"/>
        </w:tabs>
        <w:spacing w:after="0" w:line="240" w:lineRule="auto"/>
        <w:ind w:left="426" w:hanging="284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A járási hivatal megszünteti a támogatás folyósítását (amennyiben a támogatás folyósítása folyamatban van) és a már kifizetett </w:t>
      </w:r>
      <w:r>
        <w:rPr>
          <w:rFonts w:ascii="Arial" w:eastAsia="MS Mincho" w:hAnsi="Arial" w:cs="Arial"/>
          <w:b/>
          <w:sz w:val="20"/>
          <w:szCs w:val="20"/>
        </w:rPr>
        <w:t>támogatást arányosan vagy az adott időszakra vonatkozóan</w:t>
      </w:r>
      <w:r>
        <w:rPr>
          <w:rFonts w:ascii="Arial" w:eastAsia="MS Mincho" w:hAnsi="Arial" w:cs="Arial"/>
          <w:sz w:val="20"/>
          <w:szCs w:val="20"/>
        </w:rPr>
        <w:t xml:space="preserve">, a kötelezettségszegés napjától (de legkorábban a támogatás igénybevételének napjától) a visszakövetelésről rendelkező határozat meghozatala napjáig </w:t>
      </w:r>
      <w:r>
        <w:rPr>
          <w:rFonts w:ascii="Arial" w:hAnsi="Arial" w:cs="Arial"/>
          <w:sz w:val="20"/>
          <w:szCs w:val="20"/>
        </w:rPr>
        <w:t xml:space="preserve">az államháztartásról szóló törvény végrehajtásáról szóló 368/2011. (XII. 31.) Korm. rendelet (a továbbiakban: </w:t>
      </w:r>
      <w:proofErr w:type="spellStart"/>
      <w:r>
        <w:rPr>
          <w:rFonts w:ascii="Arial" w:hAnsi="Arial" w:cs="Arial"/>
          <w:sz w:val="20"/>
          <w:szCs w:val="20"/>
        </w:rPr>
        <w:t>Ávr</w:t>
      </w:r>
      <w:proofErr w:type="spellEnd"/>
      <w:r>
        <w:rPr>
          <w:rFonts w:ascii="Arial" w:hAnsi="Arial" w:cs="Arial"/>
          <w:sz w:val="20"/>
          <w:szCs w:val="20"/>
        </w:rPr>
        <w:t xml:space="preserve">.) 98. </w:t>
      </w:r>
      <w:r>
        <w:rPr>
          <w:rFonts w:ascii="Arial" w:hAnsi="Arial" w:cs="Arial"/>
          <w:sz w:val="20"/>
          <w:szCs w:val="20"/>
        </w:rPr>
        <w:lastRenderedPageBreak/>
        <w:t xml:space="preserve">§ (1) bekezdés a) pontja és (3) bekezdése szerint kiszámított ügyleti kamattal </w:t>
      </w:r>
      <w:r>
        <w:rPr>
          <w:rFonts w:ascii="Arial" w:eastAsia="MS Mincho" w:hAnsi="Arial" w:cs="Arial"/>
          <w:sz w:val="20"/>
          <w:szCs w:val="20"/>
        </w:rPr>
        <w:t>növelt összegben visszaköveteli különösen, ha:</w:t>
      </w:r>
    </w:p>
    <w:p>
      <w:pPr>
        <w:numPr>
          <w:ilvl w:val="0"/>
          <w:numId w:val="2"/>
        </w:numPr>
        <w:tabs>
          <w:tab w:val="left" w:pos="851"/>
        </w:tabs>
        <w:spacing w:before="60" w:after="0" w:line="240" w:lineRule="auto"/>
        <w:ind w:left="851"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 munkáltató olyan időtartamra igényelt és kapott támogatást, amely időtartam alatt az Mt. 53. §-a (a munkavállalónak átmenetileg a munkaszerződéstől eltérő munkakörben, munkahelyen vagy más munkáltatónál történő foglalkoztatása), vagy a 214. § (1) bekezdés a) pontja (munkaerő-kölcsönzés) szerinti foglalkoztatás történt;</w:t>
      </w:r>
    </w:p>
    <w:p>
      <w:pPr>
        <w:numPr>
          <w:ilvl w:val="0"/>
          <w:numId w:val="2"/>
        </w:numPr>
        <w:tabs>
          <w:tab w:val="left" w:pos="851"/>
        </w:tabs>
        <w:spacing w:before="60" w:after="0" w:line="240" w:lineRule="auto"/>
        <w:ind w:left="851"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egyéb okból jogalap nélküli támogatás-kifizetés (felvétel történt (pl. fizetés nélküli </w:t>
      </w:r>
      <w:proofErr w:type="spellStart"/>
      <w:r>
        <w:rPr>
          <w:rFonts w:ascii="Arial" w:eastAsia="MS Mincho" w:hAnsi="Arial" w:cs="Arial"/>
          <w:sz w:val="20"/>
          <w:szCs w:val="20"/>
        </w:rPr>
        <w:t>szabadság</w:t>
      </w:r>
      <w:proofErr w:type="gramStart"/>
      <w:r>
        <w:rPr>
          <w:rFonts w:ascii="Arial" w:eastAsia="MS Mincho" w:hAnsi="Arial" w:cs="Arial"/>
          <w:sz w:val="20"/>
          <w:szCs w:val="20"/>
        </w:rPr>
        <w:t>,</w:t>
      </w:r>
      <w:r>
        <w:rPr>
          <w:rFonts w:ascii="Arial" w:hAnsi="Arial"/>
          <w:sz w:val="20"/>
        </w:rPr>
        <w:t>táppénz</w:t>
      </w:r>
      <w:proofErr w:type="spellEnd"/>
      <w:proofErr w:type="gramEnd"/>
      <w:r>
        <w:rPr>
          <w:rFonts w:ascii="Arial" w:eastAsia="MS Mincho" w:hAnsi="Arial" w:cs="Arial"/>
          <w:sz w:val="20"/>
          <w:szCs w:val="20"/>
        </w:rPr>
        <w:t xml:space="preserve"> idejére igényelt támogatás), de a támogatás kifizetése, felvétele nem teljes egészében jogalap nélküli;</w:t>
      </w:r>
    </w:p>
    <w:p>
      <w:pPr>
        <w:numPr>
          <w:ilvl w:val="0"/>
          <w:numId w:val="2"/>
        </w:numPr>
        <w:tabs>
          <w:tab w:val="left" w:pos="851"/>
        </w:tabs>
        <w:spacing w:before="60" w:after="0" w:line="240" w:lineRule="auto"/>
        <w:ind w:left="851"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 munkáltató olyan időtartamra igényelt és kapott támogatást, amelyre munkabér-fizetési kötelezettség nem terhelte, vagy a támogatás egy részét nem fizette</w:t>
      </w:r>
      <w:r>
        <w:rPr>
          <w:rFonts w:ascii="Arial" w:eastAsia="MS Mincho" w:hAnsi="Arial" w:cs="Arial"/>
          <w:color w:val="3366FF"/>
          <w:sz w:val="20"/>
          <w:szCs w:val="20"/>
        </w:rPr>
        <w:t xml:space="preserve"> </w:t>
      </w:r>
      <w:r>
        <w:rPr>
          <w:rFonts w:ascii="Arial" w:eastAsia="MS Mincho" w:hAnsi="Arial" w:cs="Arial"/>
          <w:sz w:val="20"/>
          <w:szCs w:val="20"/>
        </w:rPr>
        <w:t>meg a munkavállalónak, vagy az engedélyezett mértéket meghaladóan történt a támogatás kifizetése, utalása.</w:t>
      </w:r>
    </w:p>
    <w:p>
      <w:pPr>
        <w:spacing w:after="0" w:line="240" w:lineRule="auto"/>
        <w:ind w:left="851"/>
        <w:jc w:val="both"/>
        <w:rPr>
          <w:rFonts w:ascii="Arial" w:eastAsia="MS Mincho" w:hAnsi="Arial" w:cs="Arial"/>
          <w:sz w:val="20"/>
          <w:szCs w:val="20"/>
        </w:rPr>
      </w:pPr>
    </w:p>
    <w:p>
      <w:pPr>
        <w:numPr>
          <w:ilvl w:val="0"/>
          <w:numId w:val="3"/>
        </w:numPr>
        <w:tabs>
          <w:tab w:val="clear" w:pos="717"/>
          <w:tab w:val="left" w:pos="426"/>
          <w:tab w:val="right" w:pos="8820"/>
        </w:tabs>
        <w:spacing w:after="0" w:line="240" w:lineRule="auto"/>
        <w:ind w:left="426" w:hanging="284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A járási hivatal megszünteti a támogatás folyósítását (amennyiben a támogatás folyósítása folyamatban van) és a már kifizetett </w:t>
      </w:r>
      <w:r>
        <w:rPr>
          <w:rFonts w:ascii="Arial" w:eastAsia="MS Mincho" w:hAnsi="Arial" w:cs="Arial"/>
          <w:b/>
          <w:sz w:val="20"/>
          <w:szCs w:val="20"/>
        </w:rPr>
        <w:t>támogatást egészben</w:t>
      </w:r>
      <w:r>
        <w:rPr>
          <w:rFonts w:ascii="Arial" w:eastAsia="MS Mincho" w:hAnsi="Arial" w:cs="Arial"/>
          <w:sz w:val="20"/>
          <w:szCs w:val="20"/>
        </w:rPr>
        <w:t xml:space="preserve">, a kötelezettségszegés napjától (de legkorábban a támogatás igénybevételének napjától) a visszakövetelésről rendelkező határozat meghozatalának napjáig az </w:t>
      </w:r>
      <w:proofErr w:type="spellStart"/>
      <w:r>
        <w:rPr>
          <w:rFonts w:ascii="Arial" w:eastAsia="MS Mincho" w:hAnsi="Arial" w:cs="Arial"/>
          <w:sz w:val="20"/>
          <w:szCs w:val="20"/>
        </w:rPr>
        <w:t>Ávr</w:t>
      </w:r>
      <w:proofErr w:type="spellEnd"/>
      <w:r>
        <w:rPr>
          <w:rFonts w:ascii="Arial" w:eastAsia="MS Mincho" w:hAnsi="Arial" w:cs="Arial"/>
          <w:sz w:val="20"/>
          <w:szCs w:val="20"/>
        </w:rPr>
        <w:t>. 98. § (1) bekezdés a) pontja és (3) bekezdése szerint kiszámított ügyleti kamattal növelt összegben visszaköveteli különösen, ha:</w:t>
      </w:r>
    </w:p>
    <w:p>
      <w:pPr>
        <w:numPr>
          <w:ilvl w:val="0"/>
          <w:numId w:val="7"/>
        </w:numPr>
        <w:tabs>
          <w:tab w:val="left" w:pos="851"/>
          <w:tab w:val="left" w:pos="1440"/>
        </w:tabs>
        <w:spacing w:before="60" w:after="0" w:line="240" w:lineRule="auto"/>
        <w:ind w:left="85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támogatott munkavállaló munkaviszonya a hatósági szerződés II. 2. pontjában meghatározott foglalkoztatási kötelezettség időtartama alatt közös megegyezéssel, </w:t>
      </w:r>
      <w:r>
        <w:rPr>
          <w:rFonts w:ascii="Arial" w:eastAsia="MS Mincho" w:hAnsi="Arial" w:cs="Arial"/>
          <w:sz w:val="20"/>
          <w:szCs w:val="20"/>
        </w:rPr>
        <w:t xml:space="preserve">vagy </w:t>
      </w:r>
      <w:r>
        <w:rPr>
          <w:rFonts w:ascii="Arial" w:hAnsi="Arial" w:cs="Arial"/>
          <w:sz w:val="20"/>
          <w:szCs w:val="20"/>
        </w:rPr>
        <w:t>a munkavállaló (</w:t>
      </w:r>
      <w:r>
        <w:rPr>
          <w:rFonts w:ascii="Arial" w:eastAsia="MS Mincho" w:hAnsi="Arial" w:cs="Arial"/>
          <w:sz w:val="20"/>
          <w:szCs w:val="20"/>
        </w:rPr>
        <w:t>Mt. 78. § (1) bekezdés szerinti)</w:t>
      </w:r>
      <w:r>
        <w:rPr>
          <w:rFonts w:ascii="Arial" w:hAnsi="Arial" w:cs="Arial"/>
          <w:sz w:val="20"/>
          <w:szCs w:val="20"/>
        </w:rPr>
        <w:t xml:space="preserve"> azonnali hatályú felmondásával szűnik meg, vagy azt a </w:t>
      </w:r>
      <w:r>
        <w:rPr>
          <w:rFonts w:ascii="Arial" w:eastAsia="MS Mincho" w:hAnsi="Arial" w:cs="Arial"/>
          <w:sz w:val="20"/>
          <w:szCs w:val="20"/>
        </w:rPr>
        <w:t xml:space="preserve">munkáltató az Mt. 79. § (1) bekezdés b) pontja alapján szünteti meg, </w:t>
      </w:r>
    </w:p>
    <w:p>
      <w:pPr>
        <w:numPr>
          <w:ilvl w:val="0"/>
          <w:numId w:val="7"/>
        </w:numPr>
        <w:tabs>
          <w:tab w:val="left" w:pos="851"/>
          <w:tab w:val="left" w:pos="1440"/>
        </w:tabs>
        <w:spacing w:before="60" w:after="0" w:line="240" w:lineRule="auto"/>
        <w:ind w:left="85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munkáltató az általa </w:t>
      </w:r>
      <w:r>
        <w:rPr>
          <w:rFonts w:ascii="Arial" w:eastAsia="MS Mincho" w:hAnsi="Arial" w:cs="Arial"/>
          <w:sz w:val="20"/>
          <w:szCs w:val="20"/>
        </w:rPr>
        <w:t xml:space="preserve">foglalkoztatott </w:t>
      </w:r>
      <w:r>
        <w:rPr>
          <w:rFonts w:ascii="Arial" w:hAnsi="Arial" w:cs="Arial"/>
          <w:sz w:val="20"/>
          <w:szCs w:val="20"/>
        </w:rPr>
        <w:t>munkavállaló munkaviszonyát a hatósági szerződés II. 2. pontjában meghatározott foglalkoztatási kötelezettség időtartama alatt működésével összefüggő okból, felmondással vagy közös megegyezéssel megszünteti,</w:t>
      </w:r>
    </w:p>
    <w:p>
      <w:pPr>
        <w:numPr>
          <w:ilvl w:val="0"/>
          <w:numId w:val="7"/>
        </w:numPr>
        <w:tabs>
          <w:tab w:val="left" w:pos="851"/>
          <w:tab w:val="left" w:pos="1440"/>
        </w:tabs>
        <w:spacing w:before="60" w:after="0" w:line="240" w:lineRule="auto"/>
        <w:ind w:left="85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megállapítást nyer, hogy a támogatással érintett munkavállaló felvétele nem eredményezte a munkavállalói létszám nettó növekedését (a kérelemben feltüntetett adatokhoz képest)),</w:t>
      </w:r>
    </w:p>
    <w:p>
      <w:pPr>
        <w:numPr>
          <w:ilvl w:val="0"/>
          <w:numId w:val="7"/>
        </w:numPr>
        <w:tabs>
          <w:tab w:val="left" w:pos="851"/>
          <w:tab w:val="left" w:pos="1440"/>
        </w:tabs>
        <w:spacing w:before="60" w:after="0" w:line="240" w:lineRule="auto"/>
        <w:ind w:left="850"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megállapítást nyer, hogy a támogatást nem a munkaerőigényre közvetített személy után igényelte,</w:t>
      </w:r>
    </w:p>
    <w:p>
      <w:pPr>
        <w:numPr>
          <w:ilvl w:val="0"/>
          <w:numId w:val="7"/>
        </w:numPr>
        <w:tabs>
          <w:tab w:val="left" w:pos="851"/>
          <w:tab w:val="left" w:pos="1440"/>
        </w:tabs>
        <w:spacing w:before="60" w:after="0" w:line="240" w:lineRule="auto"/>
        <w:ind w:left="85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megállapítást nyer, hogy a munkáltató a támogatással érintett munkavállalóval azonos vagy hasonló munkakörben foglalkoztatott munkavállaló munkaviszonyát működésével összefüggő okból felmondással megszüntette a támogatással érintett munkavállaló alkalmazását megelőző 3 hónapban (de </w:t>
      </w:r>
      <w:proofErr w:type="spellStart"/>
      <w:r>
        <w:rPr>
          <w:rFonts w:ascii="Arial" w:hAnsi="Arial" w:cs="Arial"/>
          <w:sz w:val="20"/>
          <w:szCs w:val="20"/>
        </w:rPr>
        <w:t>minimis</w:t>
      </w:r>
      <w:proofErr w:type="spellEnd"/>
      <w:r>
        <w:rPr>
          <w:rFonts w:ascii="Arial" w:hAnsi="Arial" w:cs="Arial"/>
          <w:sz w:val="20"/>
          <w:szCs w:val="20"/>
        </w:rPr>
        <w:t xml:space="preserve"> támogatás esetén irányadó időszak), illetve 12 hónapban (csoportmentességi rendelet szerinti támogatás esetén irányadó időszak)</w:t>
      </w:r>
      <w:r>
        <w:rPr>
          <w:rFonts w:ascii="Arial" w:eastAsia="MS Mincho" w:hAnsi="Arial" w:cs="Arial"/>
          <w:sz w:val="20"/>
          <w:szCs w:val="20"/>
        </w:rPr>
        <w:t>,</w:t>
      </w:r>
    </w:p>
    <w:p>
      <w:pPr>
        <w:numPr>
          <w:ilvl w:val="0"/>
          <w:numId w:val="7"/>
        </w:numPr>
        <w:tabs>
          <w:tab w:val="left" w:pos="720"/>
          <w:tab w:val="left" w:pos="851"/>
          <w:tab w:val="left" w:pos="1440"/>
        </w:tabs>
        <w:spacing w:before="60" w:after="0" w:line="240" w:lineRule="auto"/>
        <w:ind w:left="850"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 munkáltató a felvett támogatás munkabérre vonatkozó összegét a munkavállalónak bérként nem fizeti meg</w:t>
      </w:r>
    </w:p>
    <w:p>
      <w:pPr>
        <w:numPr>
          <w:ilvl w:val="0"/>
          <w:numId w:val="7"/>
        </w:numPr>
        <w:tabs>
          <w:tab w:val="left" w:pos="851"/>
          <w:tab w:val="left" w:pos="1440"/>
        </w:tabs>
        <w:spacing w:before="60" w:after="0" w:line="240" w:lineRule="auto"/>
        <w:ind w:left="850"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 támogatás – jogszabályban meghatározott feltételek hiányában – nem lett volna megállapítható,</w:t>
      </w:r>
    </w:p>
    <w:p>
      <w:pPr>
        <w:numPr>
          <w:ilvl w:val="0"/>
          <w:numId w:val="7"/>
        </w:numPr>
        <w:tabs>
          <w:tab w:val="left" w:pos="851"/>
          <w:tab w:val="left" w:pos="1440"/>
        </w:tabs>
        <w:spacing w:before="60" w:after="0" w:line="240" w:lineRule="auto"/>
        <w:ind w:left="850"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 támogatási időszak alatt a munkáltató személyében bekövetkező változás esetén az átvevő munkáltató a foglalkoztatási kötelezettség teljesítését, illetve a hatósági szerződésből eredő munkáltatói kötelezettségek teljesítését nem vállalja,</w:t>
      </w:r>
    </w:p>
    <w:p>
      <w:pPr>
        <w:numPr>
          <w:ilvl w:val="0"/>
          <w:numId w:val="7"/>
        </w:numPr>
        <w:tabs>
          <w:tab w:val="left" w:pos="851"/>
          <w:tab w:val="left" w:pos="1440"/>
        </w:tabs>
        <w:spacing w:before="60" w:after="0" w:line="240" w:lineRule="auto"/>
        <w:ind w:left="850"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megállapítást nyer, hogy a munkáltató a támogatott munkavállaló alkalmazását megelőzően benyújtott támogatási kérelmében, illetve annak mellékleteiben, továbbá a támogatás elszámolása vonatkozásában valótlan adatot szolgáltatott (vagy a valós tényeket elhallgatta), és a valós adatszolgáltatás esetén a támogatás nem nyújtható, illetve ha hitelt érdemlően bebizonyosodik, hogy a munkáltató támogatási döntés tartalmat érdemben befolyásoló valótlan, hamis, vagy megtévesztő adatot szolgáltatott, vagy ilyen nyilatkozatot tett</w:t>
      </w:r>
      <w:r>
        <w:rPr>
          <w:rFonts w:ascii="Arial" w:eastAsia="MS Mincho" w:hAnsi="Arial" w:cs="Arial"/>
          <w:sz w:val="20"/>
          <w:szCs w:val="20"/>
        </w:rPr>
        <w:t>,</w:t>
      </w:r>
    </w:p>
    <w:p>
      <w:pPr>
        <w:numPr>
          <w:ilvl w:val="0"/>
          <w:numId w:val="7"/>
        </w:numPr>
        <w:tabs>
          <w:tab w:val="left" w:pos="851"/>
        </w:tabs>
        <w:spacing w:before="60" w:after="0" w:line="240" w:lineRule="auto"/>
        <w:ind w:left="850"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 munkáltató a hatósági szerződésben foglaltak ellenőrzését lehetetlenné teszi, vagy nagymértékben akadályozza,</w:t>
      </w:r>
    </w:p>
    <w:p>
      <w:pPr>
        <w:numPr>
          <w:ilvl w:val="0"/>
          <w:numId w:val="7"/>
        </w:numPr>
        <w:tabs>
          <w:tab w:val="left" w:pos="851"/>
        </w:tabs>
        <w:spacing w:before="60" w:after="0" w:line="240" w:lineRule="auto"/>
        <w:ind w:left="850"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egyéb okból jogalap nélküli kifizetés történt, és a támogatás felvétele teljes egészében jogalap nélküli volt,</w:t>
      </w:r>
    </w:p>
    <w:p>
      <w:pPr>
        <w:numPr>
          <w:ilvl w:val="0"/>
          <w:numId w:val="7"/>
        </w:numPr>
        <w:tabs>
          <w:tab w:val="left" w:pos="851"/>
        </w:tabs>
        <w:spacing w:before="60" w:after="0" w:line="240" w:lineRule="auto"/>
        <w:ind w:left="850"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megállapítást nyer, hogy a munkáltató az </w:t>
      </w:r>
      <w:proofErr w:type="spellStart"/>
      <w:r>
        <w:rPr>
          <w:rFonts w:ascii="Arial" w:eastAsia="MS Mincho" w:hAnsi="Arial" w:cs="Arial"/>
          <w:sz w:val="20"/>
          <w:szCs w:val="20"/>
        </w:rPr>
        <w:t>Ávr</w:t>
      </w:r>
      <w:proofErr w:type="spellEnd"/>
      <w:r>
        <w:rPr>
          <w:rFonts w:ascii="Arial" w:eastAsia="MS Mincho" w:hAnsi="Arial" w:cs="Arial"/>
          <w:sz w:val="20"/>
          <w:szCs w:val="20"/>
        </w:rPr>
        <w:t>.-</w:t>
      </w:r>
      <w:proofErr w:type="spellStart"/>
      <w:r>
        <w:rPr>
          <w:rFonts w:ascii="Arial" w:eastAsia="MS Mincho" w:hAnsi="Arial" w:cs="Arial"/>
          <w:sz w:val="20"/>
          <w:szCs w:val="20"/>
        </w:rPr>
        <w:t>ben</w:t>
      </w:r>
      <w:proofErr w:type="spellEnd"/>
      <w:r>
        <w:rPr>
          <w:rFonts w:ascii="Arial" w:eastAsia="MS Mincho" w:hAnsi="Arial" w:cs="Arial"/>
          <w:sz w:val="20"/>
          <w:szCs w:val="20"/>
        </w:rPr>
        <w:t xml:space="preserve"> vagy egyéb jogszabályban a támogató okirat kiadásának vagy a hatósági szerződés megkötésének feltételeként meghatározott </w:t>
      </w:r>
      <w:r>
        <w:rPr>
          <w:rFonts w:ascii="Arial" w:eastAsia="MS Mincho" w:hAnsi="Arial" w:cs="Arial"/>
          <w:sz w:val="20"/>
          <w:szCs w:val="20"/>
        </w:rPr>
        <w:lastRenderedPageBreak/>
        <w:t xml:space="preserve">nyilatkozatokat nem tette meg, a </w:t>
      </w:r>
      <w:proofErr w:type="gramStart"/>
      <w:r>
        <w:rPr>
          <w:rFonts w:ascii="Arial" w:eastAsia="MS Mincho" w:hAnsi="Arial" w:cs="Arial"/>
          <w:sz w:val="20"/>
          <w:szCs w:val="20"/>
        </w:rPr>
        <w:t>dokumentumokat</w:t>
      </w:r>
      <w:proofErr w:type="gramEnd"/>
      <w:r>
        <w:rPr>
          <w:rFonts w:ascii="Arial" w:eastAsia="MS Mincho" w:hAnsi="Arial" w:cs="Arial"/>
          <w:sz w:val="20"/>
          <w:szCs w:val="20"/>
        </w:rPr>
        <w:t xml:space="preserve"> nem nyújtotta be, vagy a megtett nyilatkozatát visszavonta,</w:t>
      </w:r>
    </w:p>
    <w:p>
      <w:pPr>
        <w:numPr>
          <w:ilvl w:val="0"/>
          <w:numId w:val="7"/>
        </w:numPr>
        <w:tabs>
          <w:tab w:val="left" w:pos="851"/>
        </w:tabs>
        <w:spacing w:before="60" w:after="0" w:line="240" w:lineRule="auto"/>
        <w:ind w:left="850"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a bankszámláira adott, számlavezető </w:t>
      </w:r>
      <w:proofErr w:type="gramStart"/>
      <w:r>
        <w:rPr>
          <w:rFonts w:ascii="Arial" w:eastAsia="MS Mincho" w:hAnsi="Arial" w:cs="Arial"/>
          <w:sz w:val="20"/>
          <w:szCs w:val="20"/>
        </w:rPr>
        <w:t>pénzintézete(</w:t>
      </w:r>
      <w:proofErr w:type="gramEnd"/>
      <w:r>
        <w:rPr>
          <w:rFonts w:ascii="Arial" w:eastAsia="MS Mincho" w:hAnsi="Arial" w:cs="Arial"/>
          <w:sz w:val="20"/>
          <w:szCs w:val="20"/>
        </w:rPr>
        <w:t>i) által záradékolt, beszedési megbízásra vonatkozó felhatalmazás megszűnik, és biztosíték nyújtásáról a támogató által megszabott ésszerű határidőn belül nem intézkedik,</w:t>
      </w:r>
    </w:p>
    <w:p>
      <w:pPr>
        <w:numPr>
          <w:ilvl w:val="0"/>
          <w:numId w:val="7"/>
        </w:numPr>
        <w:tabs>
          <w:tab w:val="left" w:pos="851"/>
        </w:tabs>
        <w:spacing w:before="60" w:after="0" w:line="240" w:lineRule="auto"/>
        <w:ind w:left="850"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az </w:t>
      </w:r>
      <w:proofErr w:type="spellStart"/>
      <w:r>
        <w:rPr>
          <w:rFonts w:ascii="Arial" w:eastAsia="MS Mincho" w:hAnsi="Arial" w:cs="Arial"/>
          <w:sz w:val="20"/>
          <w:szCs w:val="20"/>
        </w:rPr>
        <w:t>Ávr</w:t>
      </w:r>
      <w:proofErr w:type="spellEnd"/>
      <w:r>
        <w:rPr>
          <w:rFonts w:ascii="Arial" w:eastAsia="MS Mincho" w:hAnsi="Arial" w:cs="Arial"/>
          <w:sz w:val="20"/>
          <w:szCs w:val="20"/>
        </w:rPr>
        <w:t>. 81. §-</w:t>
      </w:r>
      <w:proofErr w:type="spellStart"/>
      <w:r>
        <w:rPr>
          <w:rFonts w:ascii="Arial" w:eastAsia="MS Mincho" w:hAnsi="Arial" w:cs="Arial"/>
          <w:sz w:val="20"/>
          <w:szCs w:val="20"/>
        </w:rPr>
        <w:t>ában</w:t>
      </w:r>
      <w:proofErr w:type="spellEnd"/>
      <w:r>
        <w:rPr>
          <w:rFonts w:ascii="Arial" w:eastAsia="MS Mincho" w:hAnsi="Arial" w:cs="Arial"/>
          <w:sz w:val="20"/>
          <w:szCs w:val="20"/>
        </w:rPr>
        <w:t xml:space="preserve"> meghatározott valamely körülmény a támogatási döntés meghozatalát követően következik be, vagy jut a támogató tudomására,</w:t>
      </w:r>
    </w:p>
    <w:p>
      <w:pPr>
        <w:numPr>
          <w:ilvl w:val="0"/>
          <w:numId w:val="7"/>
        </w:numPr>
        <w:tabs>
          <w:tab w:val="left" w:pos="851"/>
        </w:tabs>
        <w:spacing w:before="60" w:after="0" w:line="240" w:lineRule="auto"/>
        <w:ind w:left="850" w:hanging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megállapítást nyer, hogy a munkáltató a </w:t>
      </w:r>
      <w:proofErr w:type="spellStart"/>
      <w:r>
        <w:rPr>
          <w:rFonts w:ascii="Arial" w:eastAsia="MS Mincho" w:hAnsi="Arial" w:cs="Arial"/>
          <w:sz w:val="20"/>
          <w:szCs w:val="20"/>
        </w:rPr>
        <w:t>továbbfoglalkoztatási</w:t>
      </w:r>
      <w:proofErr w:type="spellEnd"/>
      <w:r>
        <w:rPr>
          <w:rFonts w:ascii="Arial" w:eastAsia="MS Mincho" w:hAnsi="Arial" w:cs="Arial"/>
          <w:sz w:val="20"/>
          <w:szCs w:val="20"/>
        </w:rPr>
        <w:t xml:space="preserve"> kötelezettség ideje alatt csökkentette a korábban támogatással foglalkoztatott munkavállaló </w:t>
      </w:r>
      <w:proofErr w:type="spellStart"/>
      <w:r>
        <w:rPr>
          <w:rFonts w:ascii="Arial" w:eastAsia="MS Mincho" w:hAnsi="Arial" w:cs="Arial"/>
          <w:sz w:val="20"/>
          <w:szCs w:val="20"/>
        </w:rPr>
        <w:t>munkaidejét</w:t>
      </w:r>
      <w:proofErr w:type="spellEnd"/>
      <w:r>
        <w:rPr>
          <w:rFonts w:ascii="Arial" w:eastAsia="MS Mincho" w:hAnsi="Arial" w:cs="Arial"/>
          <w:sz w:val="20"/>
          <w:szCs w:val="20"/>
        </w:rPr>
        <w:t>, annak írásbeli, kifejezett és indokolt kérelme nélkül.</w:t>
      </w:r>
    </w:p>
    <w:p>
      <w:pPr>
        <w:tabs>
          <w:tab w:val="left" w:pos="851"/>
        </w:tabs>
        <w:spacing w:after="0" w:line="240" w:lineRule="auto"/>
        <w:jc w:val="both"/>
        <w:rPr>
          <w:rFonts w:ascii="Arial" w:eastAsia="MS Mincho" w:hAnsi="Arial" w:cs="Arial"/>
          <w:sz w:val="20"/>
          <w:szCs w:val="20"/>
        </w:rPr>
      </w:pPr>
    </w:p>
    <w:p>
      <w:pPr>
        <w:numPr>
          <w:ilvl w:val="6"/>
          <w:numId w:val="12"/>
        </w:numPr>
        <w:spacing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Amennyiben a IV. 1-2. pontok alapján meghatározott visszafizetési kötelezettségének a munkáltató a visszakövetelésről rendelkező határozatban megjelölt határidőig nem tesz eleget, e határidő elmulasztásának napjától az állami foglalkoztatási szerv a teljesítés napjáig az </w:t>
      </w:r>
      <w:proofErr w:type="spellStart"/>
      <w:r>
        <w:rPr>
          <w:rFonts w:ascii="Arial" w:eastAsia="MS Mincho" w:hAnsi="Arial" w:cs="Arial"/>
          <w:sz w:val="20"/>
          <w:szCs w:val="20"/>
        </w:rPr>
        <w:t>Ávr</w:t>
      </w:r>
      <w:proofErr w:type="spellEnd"/>
      <w:r>
        <w:rPr>
          <w:rFonts w:ascii="Arial" w:eastAsia="MS Mincho" w:hAnsi="Arial" w:cs="Arial"/>
          <w:sz w:val="20"/>
          <w:szCs w:val="20"/>
        </w:rPr>
        <w:t>. 98. § (2)-(3) bekezdésében foglaltak szerint számított késedelmi kamatot is felszámít, kivéve a késedelem azon időszakát, amíg a végrehajtás az állami adó- és vámhatóság előtt van folyamatban. Az állami adó- és vámhatóság az előtte folyó végrehajtási eljárásban a követelés összege után késedelmi pótlékot számít fel.</w:t>
      </w:r>
    </w:p>
    <w:p>
      <w:pPr>
        <w:spacing w:after="0" w:line="240" w:lineRule="auto"/>
        <w:ind w:left="360"/>
        <w:jc w:val="both"/>
        <w:rPr>
          <w:rFonts w:ascii="Arial" w:eastAsia="MS Mincho" w:hAnsi="Arial" w:cs="Arial"/>
          <w:sz w:val="20"/>
          <w:szCs w:val="20"/>
        </w:rPr>
      </w:pPr>
    </w:p>
    <w:p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munkáltató tudomásul veszi, hogy amennyiben a támogatást a járási hivatal érdekkörében felmerült okból jogalap nélkül vette fel, akkor azt a felróhatóság, illetve kötelezettségszegés vizsgálata nélkül, az erre irányuló felszólítást követően – az abban megjelölt határidőben – köteles a </w:t>
      </w:r>
      <w:r>
        <w:rPr>
          <w:rFonts w:ascii="Arial" w:eastAsia="Calibri" w:hAnsi="Arial" w:cs="Arial"/>
          <w:sz w:val="20"/>
          <w:szCs w:val="20"/>
        </w:rPr>
        <w:t xml:space="preserve">10029008-00299640-06070018 </w:t>
      </w:r>
      <w:r>
        <w:rPr>
          <w:rFonts w:ascii="Arial" w:hAnsi="Arial" w:cs="Arial"/>
          <w:sz w:val="20"/>
          <w:szCs w:val="20"/>
        </w:rPr>
        <w:t>számú számlára visszafizetni.</w:t>
      </w:r>
    </w:p>
    <w:p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 munkáltató tudomásul veszi, hogy fel kell függeszteni a költségvetési támogatás folyósítását abban az esetben, ha azt jogszabály előírja vagy a támogatói okirat kiadását, hatósági szerződés megkötését követően a kedvezményezett olyan nyilatkozatot tesz, vagy a támogató olyan körülményről szerez tudomást, amely a költségvetési támogatás visszavonását, a hatósági szerződés felmondását vagy az attól történő elállást teheti szükségessé. A felfüggesztésről és annak okáról a kedvezményezettet haladéktalanul tájékoztatni kell.</w:t>
      </w:r>
    </w:p>
    <w:p>
      <w:pPr>
        <w:spacing w:after="0" w:line="240" w:lineRule="auto"/>
        <w:ind w:left="426"/>
        <w:jc w:val="both"/>
        <w:rPr>
          <w:rFonts w:ascii="Arial" w:eastAsia="MS Mincho" w:hAnsi="Arial" w:cs="Arial"/>
          <w:sz w:val="20"/>
          <w:szCs w:val="20"/>
        </w:rPr>
      </w:pPr>
    </w:p>
    <w:p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A járási hivatal </w:t>
      </w:r>
      <w:r>
        <w:rPr>
          <w:rFonts w:ascii="Arial" w:eastAsia="MS Mincho" w:hAnsi="Arial" w:cs="Arial"/>
          <w:b/>
          <w:sz w:val="20"/>
          <w:szCs w:val="20"/>
        </w:rPr>
        <w:t>megszünteti</w:t>
      </w:r>
      <w:r>
        <w:rPr>
          <w:rFonts w:ascii="Arial" w:eastAsia="MS Mincho" w:hAnsi="Arial" w:cs="Arial"/>
          <w:sz w:val="20"/>
          <w:szCs w:val="20"/>
        </w:rPr>
        <w:t xml:space="preserve"> a támogatás folyósítását különösen:</w:t>
      </w:r>
    </w:p>
    <w:p>
      <w:pPr>
        <w:numPr>
          <w:ilvl w:val="0"/>
          <w:numId w:val="8"/>
        </w:numPr>
        <w:tabs>
          <w:tab w:val="left" w:pos="1800"/>
        </w:tabs>
        <w:spacing w:before="60" w:after="0" w:line="240" w:lineRule="auto"/>
        <w:ind w:left="1083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 munkaviszony megszűnése és a jogszabály (illetve hatósági szerződés) által nem tilalmazott megszüntetése esetében,</w:t>
      </w:r>
    </w:p>
    <w:p>
      <w:pPr>
        <w:numPr>
          <w:ilvl w:val="0"/>
          <w:numId w:val="8"/>
        </w:numPr>
        <w:tabs>
          <w:tab w:val="left" w:pos="1800"/>
        </w:tabs>
        <w:spacing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ha a munkavállaló előre látható tartós távolléte következik be (pl. CSED),</w:t>
      </w:r>
    </w:p>
    <w:p>
      <w:pPr>
        <w:numPr>
          <w:ilvl w:val="0"/>
          <w:numId w:val="8"/>
        </w:numPr>
        <w:tabs>
          <w:tab w:val="left" w:pos="1800"/>
        </w:tabs>
        <w:spacing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ha a munkáltató jogerős végzéssel elrendelt csődeljárás, felszámolási eljárás, végelszámolás vagy egyéb – a megszüntetésre irányuló, jogszabályban meghatározott – eljárás alatt áll. </w:t>
      </w:r>
    </w:p>
    <w:p>
      <w:pPr>
        <w:tabs>
          <w:tab w:val="left" w:pos="1800"/>
        </w:tabs>
        <w:spacing w:after="0" w:line="240" w:lineRule="auto"/>
        <w:ind w:left="1080"/>
        <w:jc w:val="both"/>
        <w:rPr>
          <w:rFonts w:ascii="Arial" w:eastAsia="MS Mincho" w:hAnsi="Arial" w:cs="Arial"/>
          <w:sz w:val="20"/>
          <w:szCs w:val="20"/>
        </w:rPr>
      </w:pPr>
    </w:p>
    <w:p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A járási hivatal </w:t>
      </w:r>
      <w:r>
        <w:rPr>
          <w:rFonts w:ascii="Arial" w:eastAsia="MS Mincho" w:hAnsi="Arial" w:cs="Arial"/>
          <w:b/>
          <w:sz w:val="20"/>
          <w:szCs w:val="20"/>
        </w:rPr>
        <w:t>megszüntetheti</w:t>
      </w:r>
      <w:r>
        <w:rPr>
          <w:rFonts w:ascii="Arial" w:eastAsia="MS Mincho" w:hAnsi="Arial" w:cs="Arial"/>
          <w:sz w:val="20"/>
          <w:szCs w:val="20"/>
        </w:rPr>
        <w:t xml:space="preserve"> a támogatás folyósítását különösen, ha</w:t>
      </w:r>
    </w:p>
    <w:p>
      <w:pPr>
        <w:numPr>
          <w:ilvl w:val="0"/>
          <w:numId w:val="9"/>
        </w:numPr>
        <w:tabs>
          <w:tab w:val="left" w:pos="1800"/>
        </w:tabs>
        <w:spacing w:before="60" w:after="0" w:line="240" w:lineRule="auto"/>
        <w:ind w:left="1083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 munkáltató adatszolgáltatási kötelezettségét határidőben nem teljesíti, vagy annak hiányosan tesz eleget,</w:t>
      </w:r>
    </w:p>
    <w:p>
      <w:pPr>
        <w:numPr>
          <w:ilvl w:val="0"/>
          <w:numId w:val="9"/>
        </w:numPr>
        <w:tabs>
          <w:tab w:val="left" w:pos="1800"/>
        </w:tabs>
        <w:spacing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 munkáltató a kormányhivatal ellenőrzését akadályozza,</w:t>
      </w:r>
    </w:p>
    <w:p>
      <w:pPr>
        <w:numPr>
          <w:ilvl w:val="0"/>
          <w:numId w:val="9"/>
        </w:numPr>
        <w:tabs>
          <w:tab w:val="left" w:pos="1800"/>
        </w:tabs>
        <w:spacing w:after="0" w:line="240" w:lineRule="auto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egyéb szerződésszegés esetén, ha a szerződésszegés súlya ezt indokolja.</w:t>
      </w:r>
    </w:p>
    <w:p>
      <w:pPr>
        <w:tabs>
          <w:tab w:val="left" w:pos="1800"/>
        </w:tabs>
        <w:spacing w:after="0" w:line="240" w:lineRule="auto"/>
        <w:ind w:left="723"/>
        <w:jc w:val="both"/>
        <w:rPr>
          <w:rFonts w:ascii="Arial" w:eastAsia="MS Mincho" w:hAnsi="Arial" w:cs="Arial"/>
          <w:sz w:val="20"/>
          <w:szCs w:val="20"/>
        </w:rPr>
      </w:pPr>
    </w:p>
    <w:p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Munkáltató tudomásul veszi, hogy köztartozás-mentességét a járási hivatal több alkalommal ellenőrzi: a támogatás igénylésekor (a kérelem benyújtásakor), a hatósági szerződés megkötésekor, valamint a támogatás havi folyósítását megelőzően.</w:t>
      </w:r>
    </w:p>
    <w:p>
      <w:pPr>
        <w:pStyle w:val="Listaszerbekezds"/>
        <w:ind w:left="1080"/>
        <w:rPr>
          <w:rFonts w:ascii="Arial" w:eastAsia="MS Mincho" w:hAnsi="Arial" w:cs="Arial"/>
          <w:sz w:val="20"/>
          <w:szCs w:val="20"/>
        </w:rPr>
      </w:pPr>
    </w:p>
    <w:p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 járási hivatal felfüggeszti a támogatás folyósítását, amennyiben a munkáltató a hatósági szerződésben foglaltaknak megfelelően beszámolási kötelezettségét nem, vagy nem megfelelő módon teljesíti.</w:t>
      </w:r>
    </w:p>
    <w:p>
      <w:pPr>
        <w:spacing w:after="0" w:line="240" w:lineRule="auto"/>
        <w:ind w:left="425"/>
        <w:jc w:val="both"/>
        <w:rPr>
          <w:rFonts w:ascii="Arial" w:eastAsia="MS Mincho" w:hAnsi="Arial" w:cs="Arial"/>
          <w:sz w:val="20"/>
          <w:szCs w:val="20"/>
        </w:rPr>
      </w:pPr>
    </w:p>
    <w:p>
      <w:pPr>
        <w:numPr>
          <w:ilvl w:val="0"/>
          <w:numId w:val="13"/>
        </w:numPr>
        <w:spacing w:after="0" w:line="240" w:lineRule="auto"/>
        <w:ind w:left="425" w:hanging="426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Ha a járási hivatal a hatósági szerződésben vállalt kötelezettségeit nem teljesíti, a munkáltató a teljesítésre irányuló felhívása eredménytelensége esetén – a szerződésszegés tudomására jutásától számított harminc napon belül – ahhoz a törvényszékhez fordulhat, amelynek illetékességi területén a per tárgyává tett szerződést megkötötték.</w:t>
      </w:r>
    </w:p>
    <w:p>
      <w:pPr>
        <w:spacing w:after="0" w:line="240" w:lineRule="auto"/>
        <w:jc w:val="both"/>
        <w:rPr>
          <w:rFonts w:ascii="Arial" w:eastAsia="MS Mincho" w:hAnsi="Arial" w:cs="Arial"/>
          <w:sz w:val="20"/>
          <w:szCs w:val="20"/>
        </w:rPr>
      </w:pPr>
    </w:p>
    <w:p>
      <w:pPr>
        <w:spacing w:after="0" w:line="240" w:lineRule="auto"/>
        <w:ind w:left="360" w:hanging="360"/>
        <w:rPr>
          <w:rFonts w:ascii="Arial" w:eastAsia="MS Mincho" w:hAnsi="Arial" w:cs="Arial"/>
          <w:b/>
          <w:sz w:val="20"/>
          <w:szCs w:val="20"/>
        </w:rPr>
      </w:pPr>
      <w:r>
        <w:rPr>
          <w:rFonts w:ascii="Arial" w:eastAsia="MS Mincho" w:hAnsi="Arial" w:cs="Arial"/>
          <w:b/>
          <w:sz w:val="20"/>
          <w:szCs w:val="20"/>
        </w:rPr>
        <w:t>V.</w:t>
      </w:r>
      <w:r>
        <w:rPr>
          <w:rFonts w:ascii="Arial" w:eastAsia="MS Mincho" w:hAnsi="Arial" w:cs="Arial"/>
          <w:b/>
          <w:sz w:val="20"/>
          <w:szCs w:val="20"/>
        </w:rPr>
        <w:tab/>
        <w:t>Egyéb feltételek, kötelezettségek, kikötések:</w:t>
      </w:r>
    </w:p>
    <w:p>
      <w:pPr>
        <w:spacing w:after="0" w:line="240" w:lineRule="auto"/>
        <w:ind w:left="360" w:hanging="360"/>
        <w:rPr>
          <w:rFonts w:ascii="Arial" w:eastAsia="MS Mincho" w:hAnsi="Arial" w:cs="Arial"/>
          <w:b/>
          <w:sz w:val="20"/>
          <w:szCs w:val="20"/>
        </w:rPr>
      </w:pPr>
    </w:p>
    <w:p>
      <w:pPr>
        <w:numPr>
          <w:ilvl w:val="0"/>
          <w:numId w:val="11"/>
        </w:numPr>
        <w:tabs>
          <w:tab w:val="left" w:pos="357"/>
        </w:tabs>
        <w:spacing w:after="0" w:line="240" w:lineRule="auto"/>
        <w:ind w:left="358" w:hanging="358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 felek tudomásul veszik, hogy a hatósági szerződést a kormányhivatal, az irányító hatóság, a programot felügyelő minisztérium, a kormányzati ellenőrzési szervek, a Magyar Államkincstár, az Állami Számvevőszék, a kifizető, az igazoló és az ellenőrzési hatóság, az Európai Támogatásokat Auditáló Főigazgatóság, az Európai Bizottság és az Európai Számvevőszék is jogosult ellenőrizni. A támogatott (munkáltató) – az esetleges vizsgálat esetén – vállalja, hogy részükre a kért felvilágosítást megadja, illetve a hatósági szerződésben foglaltak teljesítésével kapcsolatos iratokat bemutatja, szükség esetén másolatban átadja. A támogatott köteles továbbá a támogatás felhasználásáról az előzőekben említett szervek részére - kérésükre - számadást készíteni.</w:t>
      </w:r>
    </w:p>
    <w:p>
      <w:pPr>
        <w:tabs>
          <w:tab w:val="left" w:pos="357"/>
        </w:tabs>
        <w:spacing w:after="0" w:line="240" w:lineRule="auto"/>
        <w:ind w:left="358"/>
        <w:jc w:val="both"/>
        <w:rPr>
          <w:rFonts w:ascii="Arial" w:eastAsia="MS Mincho" w:hAnsi="Arial" w:cs="Arial"/>
          <w:sz w:val="20"/>
          <w:szCs w:val="20"/>
        </w:rPr>
      </w:pPr>
    </w:p>
    <w:p>
      <w:pPr>
        <w:numPr>
          <w:ilvl w:val="0"/>
          <w:numId w:val="11"/>
        </w:numPr>
        <w:tabs>
          <w:tab w:val="left" w:pos="357"/>
        </w:tabs>
        <w:spacing w:after="0" w:line="240" w:lineRule="auto"/>
        <w:ind w:left="358" w:hanging="358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 támogatott (munkáltató) tudomásul veszi, hogy a hatósági szerződés megkötése után a kormányhivatal ellenőrzéseket végezhet a vállalt kötelezettségek teljesítése érdekében. Az ellenőrzés kiterjed a támogatás jogszerűségére, a támogatott kérelemben tett nyilatkozatainak valóságtartalmára, a támogatás felhasználásának jogszerűségére. A munkáltató az ellenőrzést köteles eltűrni. Az ellenőrzés a támogatás-folyósítás kezdőnapjától a folyósítás befejezését követő 5 éven belül történhet. A munkáltatónak az alapbizonylatokat a támogatás befejezését követően legalább 10 évig meg kell őriznie.</w:t>
      </w:r>
    </w:p>
    <w:p>
      <w:pPr>
        <w:tabs>
          <w:tab w:val="left" w:pos="357"/>
        </w:tabs>
        <w:spacing w:after="0" w:line="240" w:lineRule="auto"/>
        <w:ind w:left="358"/>
        <w:jc w:val="both"/>
        <w:rPr>
          <w:rFonts w:ascii="Arial" w:eastAsia="MS Mincho" w:hAnsi="Arial" w:cs="Arial"/>
          <w:sz w:val="20"/>
          <w:szCs w:val="20"/>
        </w:rPr>
      </w:pPr>
    </w:p>
    <w:p>
      <w:pPr>
        <w:numPr>
          <w:ilvl w:val="0"/>
          <w:numId w:val="11"/>
        </w:numPr>
        <w:tabs>
          <w:tab w:val="left" w:pos="357"/>
        </w:tabs>
        <w:spacing w:after="0" w:line="240" w:lineRule="auto"/>
        <w:ind w:left="358" w:hanging="358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A szerződő felek az </w:t>
      </w:r>
      <w:proofErr w:type="spellStart"/>
      <w:r>
        <w:rPr>
          <w:rFonts w:ascii="Arial" w:eastAsia="MS Mincho" w:hAnsi="Arial" w:cs="Arial"/>
          <w:sz w:val="20"/>
          <w:szCs w:val="20"/>
        </w:rPr>
        <w:t>Ákr</w:t>
      </w:r>
      <w:proofErr w:type="spellEnd"/>
      <w:r>
        <w:rPr>
          <w:rFonts w:ascii="Arial" w:eastAsia="MS Mincho" w:hAnsi="Arial" w:cs="Arial"/>
          <w:sz w:val="20"/>
          <w:szCs w:val="20"/>
        </w:rPr>
        <w:t xml:space="preserve">. 26. § (1) bekezdése alapján </w:t>
      </w:r>
      <w:r>
        <w:rPr>
          <w:rFonts w:ascii="Arial" w:hAnsi="Arial" w:cs="Arial"/>
          <w:sz w:val="20"/>
          <w:szCs w:val="20"/>
        </w:rPr>
        <w:t xml:space="preserve">írásban, a digitális államról és a digitális szolgáltatások nyújtásának egyes szabályairól szóló 2023. évi CIII. törvényben (a továbbiakban: </w:t>
      </w:r>
      <w:proofErr w:type="spellStart"/>
      <w:r>
        <w:rPr>
          <w:rFonts w:ascii="Arial" w:hAnsi="Arial" w:cs="Arial"/>
          <w:sz w:val="20"/>
          <w:szCs w:val="20"/>
        </w:rPr>
        <w:t>Dáptv</w:t>
      </w:r>
      <w:proofErr w:type="spellEnd"/>
      <w:r>
        <w:rPr>
          <w:rFonts w:ascii="Arial" w:hAnsi="Arial" w:cs="Arial"/>
          <w:sz w:val="20"/>
          <w:szCs w:val="20"/>
        </w:rPr>
        <w:t>.) meghatározott elektronikus úton (a továbbiakban együtt: írásban) vagy személyesen, írásbelinek nem minősülő elektronikus úton (együtt: szóban) tartanak kapcsolatot.</w:t>
      </w:r>
    </w:p>
    <w:p>
      <w:pPr>
        <w:tabs>
          <w:tab w:val="left" w:pos="35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tabs>
          <w:tab w:val="left" w:pos="35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sectPr>
      <w:head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</w:pP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Fejér Vármegyei Kormányhivatal Foglalkoztatási, Foglalkoztatás-felügyeleti és Munkavédelmi Főosztály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Ügyintézés helye: 8000 Székesfehérvár, Sörház tér 1. Tel</w:t>
    </w:r>
    <w:proofErr w:type="gramStart"/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 xml:space="preserve"> 22-327-950 E-mail: </w:t>
    </w:r>
    <w:hyperlink r:id="rId1" w:history="1">
      <w:r>
        <w:rPr>
          <w:rStyle w:val="Hiperhivatkozs"/>
          <w:rFonts w:ascii="Arial" w:hAnsi="Arial" w:cs="Arial"/>
          <w:sz w:val="18"/>
          <w:szCs w:val="18"/>
        </w:rPr>
        <w:t>foglalkoztatas@fejer.gov.hu</w:t>
      </w:r>
    </w:hyperlink>
  </w:p>
  <w:p>
    <w:pPr>
      <w:pStyle w:val="llb"/>
      <w:jc w:val="center"/>
    </w:pP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Ügyfélfogadás: hétfő; szerda; csütörtök: 8:00-14:00; péntek: 8:00-12:00; kedd: nincs félfogadás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hivatkozs"/>
        </w:rPr>
        <w:footnoteRef/>
      </w:r>
      <w:r>
        <w:t xml:space="preserve"> *A terhelést igazoló bankszámlakivonatnak elfogadható a netbankból kinyomtatott bizonylat is. Elektronikus ügyintézés esetén elektronikus aláírással és időbélyegzővel ellátva.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tabs>
        <w:tab w:val="center" w:pos="4536"/>
        <w:tab w:val="right" w:pos="9072"/>
      </w:tabs>
      <w:ind w:left="126"/>
      <w:jc w:val="center"/>
      <w:rPr>
        <w:rStyle w:val="Oldalszm"/>
      </w:rPr>
    </w:pPr>
  </w:p>
  <w:p>
    <w:pPr>
      <w:tabs>
        <w:tab w:val="center" w:pos="4536"/>
        <w:tab w:val="right" w:pos="9072"/>
      </w:tabs>
      <w:ind w:left="126"/>
      <w:jc w:val="center"/>
      <w:rPr>
        <w:rFonts w:ascii="Arial" w:hAnsi="Arial" w:cs="Arial"/>
        <w:i/>
        <w:sz w:val="20"/>
        <w:szCs w:val="20"/>
      </w:rPr>
    </w:pPr>
    <w:r>
      <w:rPr>
        <w:rStyle w:val="Oldalszm"/>
      </w:rPr>
      <w:t xml:space="preserve"> </w:t>
    </w:r>
  </w:p>
  <w:p>
    <w:pPr>
      <w:pStyle w:val="lfej"/>
      <w:jc w:val="center"/>
      <w:rPr>
        <w:rStyle w:val="Oldalszm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tabs>
        <w:tab w:val="center" w:pos="4536"/>
        <w:tab w:val="right" w:pos="9072"/>
      </w:tabs>
      <w:ind w:left="126"/>
      <w:jc w:val="center"/>
      <w:rPr>
        <w:i/>
        <w:sz w:val="20"/>
        <w:szCs w:val="20"/>
        <w:highlight w:val="lightGray"/>
      </w:rPr>
    </w:pPr>
  </w:p>
  <w:p>
    <w:pPr>
      <w:tabs>
        <w:tab w:val="center" w:pos="4536"/>
        <w:tab w:val="right" w:pos="9072"/>
      </w:tabs>
      <w:ind w:left="126"/>
      <w:jc w:val="center"/>
      <w:rPr>
        <w:rFonts w:ascii="Arial" w:hAnsi="Arial" w:cs="Arial"/>
        <w:i/>
        <w:sz w:val="20"/>
        <w:szCs w:val="20"/>
        <w:highlight w:val="lightGray"/>
      </w:rPr>
    </w:pP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88B"/>
    <w:multiLevelType w:val="multilevel"/>
    <w:tmpl w:val="EEB4FFC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6B3AD6"/>
    <w:multiLevelType w:val="multilevel"/>
    <w:tmpl w:val="B03A58A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B60ACC"/>
    <w:multiLevelType w:val="multilevel"/>
    <w:tmpl w:val="B33A439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799"/>
        </w:tabs>
        <w:ind w:left="799" w:hanging="360"/>
      </w:pPr>
    </w:lvl>
    <w:lvl w:ilvl="2">
      <w:start w:val="1"/>
      <w:numFmt w:val="bullet"/>
      <w:lvlText w:val=""/>
      <w:lvlJc w:val="left"/>
      <w:pPr>
        <w:tabs>
          <w:tab w:val="num" w:pos="1519"/>
        </w:tabs>
        <w:ind w:left="1519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2239"/>
        </w:tabs>
        <w:ind w:left="2239" w:hanging="360"/>
      </w:pPr>
    </w:lvl>
    <w:lvl w:ilvl="4">
      <w:start w:val="1"/>
      <w:numFmt w:val="lowerLetter"/>
      <w:lvlText w:val="%5."/>
      <w:lvlJc w:val="left"/>
      <w:pPr>
        <w:tabs>
          <w:tab w:val="num" w:pos="2959"/>
        </w:tabs>
        <w:ind w:left="2959" w:hanging="360"/>
      </w:pPr>
    </w:lvl>
    <w:lvl w:ilvl="5">
      <w:start w:val="1"/>
      <w:numFmt w:val="lowerRoman"/>
      <w:lvlText w:val="%6."/>
      <w:lvlJc w:val="right"/>
      <w:pPr>
        <w:tabs>
          <w:tab w:val="num" w:pos="3679"/>
        </w:tabs>
        <w:ind w:left="3679" w:hanging="180"/>
      </w:pPr>
    </w:lvl>
    <w:lvl w:ilvl="6">
      <w:start w:val="1"/>
      <w:numFmt w:val="decimal"/>
      <w:lvlText w:val="%7."/>
      <w:lvlJc w:val="left"/>
      <w:pPr>
        <w:tabs>
          <w:tab w:val="num" w:pos="4399"/>
        </w:tabs>
        <w:ind w:left="4399" w:hanging="360"/>
      </w:pPr>
    </w:lvl>
    <w:lvl w:ilvl="7">
      <w:start w:val="1"/>
      <w:numFmt w:val="lowerLetter"/>
      <w:lvlText w:val="%8."/>
      <w:lvlJc w:val="left"/>
      <w:pPr>
        <w:tabs>
          <w:tab w:val="num" w:pos="5119"/>
        </w:tabs>
        <w:ind w:left="5119" w:hanging="360"/>
      </w:pPr>
    </w:lvl>
    <w:lvl w:ilvl="8">
      <w:start w:val="1"/>
      <w:numFmt w:val="lowerRoman"/>
      <w:lvlText w:val="%9."/>
      <w:lvlJc w:val="right"/>
      <w:pPr>
        <w:tabs>
          <w:tab w:val="num" w:pos="5839"/>
        </w:tabs>
        <w:ind w:left="5839" w:hanging="180"/>
      </w:pPr>
    </w:lvl>
  </w:abstractNum>
  <w:abstractNum w:abstractNumId="3" w15:restartNumberingAfterBreak="0">
    <w:nsid w:val="4BD204B8"/>
    <w:multiLevelType w:val="multilevel"/>
    <w:tmpl w:val="57E8B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E2D502E"/>
    <w:multiLevelType w:val="multilevel"/>
    <w:tmpl w:val="93A6F6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26D5824"/>
    <w:multiLevelType w:val="multilevel"/>
    <w:tmpl w:val="2A5A14BC"/>
    <w:lvl w:ilvl="0">
      <w:start w:val="1"/>
      <w:numFmt w:val="bullet"/>
      <w:lvlText w:val=""/>
      <w:lvlJc w:val="left"/>
      <w:pPr>
        <w:tabs>
          <w:tab w:val="num" w:pos="224"/>
        </w:tabs>
        <w:ind w:left="2204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224"/>
        </w:tabs>
        <w:ind w:left="1664" w:hanging="360"/>
      </w:pPr>
    </w:lvl>
    <w:lvl w:ilvl="2">
      <w:start w:val="1"/>
      <w:numFmt w:val="lowerRoman"/>
      <w:lvlText w:val="%3."/>
      <w:lvlJc w:val="right"/>
      <w:pPr>
        <w:tabs>
          <w:tab w:val="num" w:pos="224"/>
        </w:tabs>
        <w:ind w:left="2384" w:hanging="180"/>
      </w:pPr>
    </w:lvl>
    <w:lvl w:ilvl="3">
      <w:start w:val="1"/>
      <w:numFmt w:val="decimal"/>
      <w:lvlText w:val="%4."/>
      <w:lvlJc w:val="left"/>
      <w:pPr>
        <w:tabs>
          <w:tab w:val="num" w:pos="224"/>
        </w:tabs>
        <w:ind w:left="3104" w:hanging="360"/>
      </w:pPr>
    </w:lvl>
    <w:lvl w:ilvl="4">
      <w:start w:val="1"/>
      <w:numFmt w:val="lowerLetter"/>
      <w:lvlText w:val="%5."/>
      <w:lvlJc w:val="left"/>
      <w:pPr>
        <w:tabs>
          <w:tab w:val="num" w:pos="224"/>
        </w:tabs>
        <w:ind w:left="3824" w:hanging="360"/>
      </w:pPr>
    </w:lvl>
    <w:lvl w:ilvl="5">
      <w:start w:val="1"/>
      <w:numFmt w:val="lowerRoman"/>
      <w:lvlText w:val="%6."/>
      <w:lvlJc w:val="right"/>
      <w:pPr>
        <w:tabs>
          <w:tab w:val="num" w:pos="224"/>
        </w:tabs>
        <w:ind w:left="4544" w:hanging="180"/>
      </w:pPr>
    </w:lvl>
    <w:lvl w:ilvl="6">
      <w:start w:val="1"/>
      <w:numFmt w:val="decimal"/>
      <w:lvlText w:val="%7."/>
      <w:lvlJc w:val="left"/>
      <w:pPr>
        <w:tabs>
          <w:tab w:val="num" w:pos="224"/>
        </w:tabs>
        <w:ind w:left="5264" w:hanging="360"/>
      </w:pPr>
    </w:lvl>
    <w:lvl w:ilvl="7">
      <w:start w:val="1"/>
      <w:numFmt w:val="lowerLetter"/>
      <w:lvlText w:val="%8."/>
      <w:lvlJc w:val="left"/>
      <w:pPr>
        <w:tabs>
          <w:tab w:val="num" w:pos="224"/>
        </w:tabs>
        <w:ind w:left="5984" w:hanging="360"/>
      </w:pPr>
    </w:lvl>
    <w:lvl w:ilvl="8">
      <w:start w:val="1"/>
      <w:numFmt w:val="lowerRoman"/>
      <w:lvlText w:val="%9."/>
      <w:lvlJc w:val="right"/>
      <w:pPr>
        <w:tabs>
          <w:tab w:val="num" w:pos="224"/>
        </w:tabs>
        <w:ind w:left="6704" w:hanging="180"/>
      </w:pPr>
    </w:lvl>
  </w:abstractNum>
  <w:abstractNum w:abstractNumId="6" w15:restartNumberingAfterBreak="0">
    <w:nsid w:val="54F03672"/>
    <w:multiLevelType w:val="multilevel"/>
    <w:tmpl w:val="25B4ADA8"/>
    <w:lvl w:ilvl="0">
      <w:start w:val="1"/>
      <w:numFmt w:val="decimal"/>
      <w:pStyle w:val="Cmsor1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253" w:firstLine="0"/>
      </w:pPr>
      <w:rPr>
        <w:rFonts w:ascii="Times New Roman" w:hAnsi="Times New Roman" w:cs="Times New Roman" w:hint="default"/>
        <w:b w:val="0"/>
        <w:i/>
        <w:caps w:val="0"/>
        <w:smallCaps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7230" w:firstLine="0"/>
      </w:pPr>
      <w:rPr>
        <w:rFonts w:ascii="Palatino Linotype" w:hAnsi="Palatino Linotype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5D3B678E"/>
    <w:multiLevelType w:val="multilevel"/>
    <w:tmpl w:val="F188970E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8" w15:restartNumberingAfterBreak="0">
    <w:nsid w:val="5D9E50CD"/>
    <w:multiLevelType w:val="multilevel"/>
    <w:tmpl w:val="22E0303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" w15:restartNumberingAfterBreak="0">
    <w:nsid w:val="68292D93"/>
    <w:multiLevelType w:val="multilevel"/>
    <w:tmpl w:val="3580DA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D1B7240"/>
    <w:multiLevelType w:val="multilevel"/>
    <w:tmpl w:val="BEB0F2D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6D30083B"/>
    <w:multiLevelType w:val="multilevel"/>
    <w:tmpl w:val="EB327DF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91D2AA9"/>
    <w:multiLevelType w:val="multilevel"/>
    <w:tmpl w:val="A58C9D4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57"/>
      </w:pPr>
      <w:rPr>
        <w:b w:val="0"/>
        <w:i w:val="0"/>
        <w:color w:val="auto"/>
        <w:sz w:val="20"/>
        <w:szCs w:val="20"/>
      </w:rPr>
    </w:lvl>
    <w:lvl w:ilvl="1">
      <w:start w:val="1"/>
      <w:numFmt w:val="bullet"/>
      <w:lvlText w:val="–"/>
      <w:lvlJc w:val="left"/>
      <w:pPr>
        <w:tabs>
          <w:tab w:val="num" w:pos="1800"/>
        </w:tabs>
        <w:ind w:left="1800" w:hanging="357"/>
      </w:pPr>
      <w:rPr>
        <w:rFonts w:ascii="Arial Narrow" w:hAnsi="Arial Narrow" w:cs="Arial Narrow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3" w15:restartNumberingAfterBreak="0">
    <w:nsid w:val="79B323E2"/>
    <w:multiLevelType w:val="multilevel"/>
    <w:tmpl w:val="B5229066"/>
    <w:lvl w:ilvl="0">
      <w:start w:val="1"/>
      <w:numFmt w:val="lowerLetter"/>
      <w:lvlText w:val="%1)"/>
      <w:lvlJc w:val="left"/>
      <w:pPr>
        <w:tabs>
          <w:tab w:val="num" w:pos="0"/>
        </w:tabs>
        <w:ind w:left="19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7ACE75E5"/>
    <w:multiLevelType w:val="multilevel"/>
    <w:tmpl w:val="48EA8DD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57"/>
      </w:pPr>
      <w:rPr>
        <w:b w:val="0"/>
        <w:i w:val="0"/>
        <w:color w:val="auto"/>
        <w:sz w:val="20"/>
        <w:szCs w:val="20"/>
      </w:rPr>
    </w:lvl>
    <w:lvl w:ilvl="1">
      <w:start w:val="1"/>
      <w:numFmt w:val="bullet"/>
      <w:lvlText w:val="–"/>
      <w:lvlJc w:val="left"/>
      <w:pPr>
        <w:tabs>
          <w:tab w:val="num" w:pos="1800"/>
        </w:tabs>
        <w:ind w:left="1800" w:hanging="357"/>
      </w:pPr>
      <w:rPr>
        <w:rFonts w:ascii="Arial Narrow" w:hAnsi="Arial Narrow" w:cs="Arial Narrow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5" w15:restartNumberingAfterBreak="0">
    <w:nsid w:val="7EBF4042"/>
    <w:multiLevelType w:val="multilevel"/>
    <w:tmpl w:val="DA4886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3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15"/>
  </w:num>
  <w:num w:numId="12">
    <w:abstractNumId w:val="6"/>
  </w:num>
  <w:num w:numId="13">
    <w:abstractNumId w:val="8"/>
  </w:num>
  <w:num w:numId="14">
    <w:abstractNumId w:val="5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581E1D-5E52-4738-8620-C13E3029E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</w:pPr>
  </w:style>
  <w:style w:type="paragraph" w:styleId="Cmsor1">
    <w:name w:val="heading 1"/>
    <w:basedOn w:val="Norml"/>
    <w:next w:val="Norml"/>
    <w:link w:val="Cmsor1Char"/>
    <w:qFormat/>
    <w:pPr>
      <w:keepNext/>
      <w:numPr>
        <w:numId w:val="12"/>
      </w:numPr>
      <w:tabs>
        <w:tab w:val="left" w:pos="567"/>
      </w:tabs>
      <w:spacing w:before="240" w:after="240" w:line="240" w:lineRule="auto"/>
      <w:jc w:val="both"/>
      <w:outlineLvl w:val="0"/>
    </w:pPr>
    <w:rPr>
      <w:rFonts w:ascii="Arial Narrow" w:eastAsia="Times New Roman" w:hAnsi="Arial Narrow" w:cs="Times New Roman"/>
      <w:b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2"/>
      </w:numPr>
      <w:tabs>
        <w:tab w:val="left" w:pos="4275"/>
        <w:tab w:val="left" w:pos="8790"/>
        <w:tab w:val="right" w:pos="9638"/>
      </w:tabs>
      <w:spacing w:before="240"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Cmsor3">
    <w:name w:val="heading 3"/>
    <w:basedOn w:val="Norml"/>
    <w:next w:val="Norml"/>
    <w:link w:val="Cmsor3Char"/>
    <w:qFormat/>
    <w:pPr>
      <w:keepNext/>
      <w:numPr>
        <w:ilvl w:val="2"/>
        <w:numId w:val="12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Pr>
      <w:rFonts w:ascii="Arial Narrow" w:eastAsia="Times New Roman" w:hAnsi="Arial Narrow" w:cs="Times New Roman"/>
      <w:b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Pr>
      <w:rFonts w:ascii="Arial" w:eastAsia="Times New Roman" w:hAnsi="Arial" w:cs="Arial"/>
      <w:b/>
      <w:bCs/>
      <w:sz w:val="26"/>
      <w:szCs w:val="26"/>
      <w:lang w:eastAsia="hu-HU"/>
    </w:rPr>
  </w:style>
  <w:style w:type="character" w:styleId="Hiperhivatkozs">
    <w:name w:val="Hyperlink"/>
    <w:uiPriority w:val="99"/>
    <w:rPr>
      <w:color w:val="0000FF"/>
      <w:u w:val="single"/>
    </w:rPr>
  </w:style>
  <w:style w:type="character" w:customStyle="1" w:styleId="lfejChar">
    <w:name w:val="Élőfej Char"/>
    <w:basedOn w:val="Bekezdsalapbettpusa"/>
    <w:link w:val="lfej"/>
    <w:qFormat/>
    <w:rPr>
      <w:rFonts w:ascii="Times New Roman" w:eastAsia="Times New Roman" w:hAnsi="Times New Roman" w:cs="Times New Roman"/>
      <w:sz w:val="24"/>
      <w:szCs w:val="24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character" w:customStyle="1" w:styleId="LbjegyzetszvegChar">
    <w:name w:val="Lábjegyzetszöveg Char"/>
    <w:aliases w:val="Footnote Char,Char1 Char,Schriftart: 9 pt Char,Schriftart: 10 pt Char,Schriftart: 8 pt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qFormat/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,L Char"/>
    <w:link w:val="Listaszerbekezds"/>
    <w:uiPriority w:val="99"/>
    <w:qFormat/>
    <w:locked/>
    <w:rPr>
      <w:rFonts w:ascii="Calibri" w:eastAsia="Calibri" w:hAnsi="Calibri" w:cs="Calibri"/>
      <w:lang w:eastAsia="hu-HU"/>
    </w:rPr>
  </w:style>
  <w:style w:type="character" w:styleId="Kiemels2">
    <w:name w:val="Strong"/>
    <w:basedOn w:val="Bekezdsalapbettpusa"/>
    <w:uiPriority w:val="22"/>
    <w:qFormat/>
    <w:rPr>
      <w:b/>
      <w:bCs/>
    </w:rPr>
  </w:style>
  <w:style w:type="character" w:customStyle="1" w:styleId="Bodytext2">
    <w:name w:val="Body text (2)_"/>
    <w:basedOn w:val="Bekezdsalapbettpusa"/>
    <w:link w:val="Bodytext21"/>
    <w:qFormat/>
    <w:rPr>
      <w:rFonts w:ascii="Arial" w:hAnsi="Arial" w:cs="Arial"/>
      <w:sz w:val="20"/>
      <w:szCs w:val="20"/>
      <w:shd w:val="clear" w:color="auto" w:fill="FFFFFF"/>
    </w:rPr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1">
    <w:name w:val="Élőfej Char1"/>
    <w:basedOn w:val="Bekezdsalapbettpusa"/>
    <w:uiPriority w:val="99"/>
    <w:semiHidden/>
  </w:style>
  <w:style w:type="paragraph" w:styleId="Lbjegyzetszveg">
    <w:name w:val="footnote text"/>
    <w:aliases w:val="Footnote,Char1,Schriftart: 9 pt,Schriftart: 10 pt,Schriftart: 8 pt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Pr>
      <w:sz w:val="20"/>
      <w:szCs w:val="20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1">
    <w:name w:val="Élőláb Char1"/>
    <w:basedOn w:val="Bekezdsalapbettpusa"/>
    <w:uiPriority w:val="99"/>
    <w:semiHidden/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,L"/>
    <w:basedOn w:val="Norml"/>
    <w:link w:val="ListaszerbekezdsChar"/>
    <w:uiPriority w:val="99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paragraph" w:customStyle="1" w:styleId="aj">
    <w:name w:val="aj"/>
    <w:basedOn w:val="Norml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odytext21">
    <w:name w:val="Body text (2)1"/>
    <w:basedOn w:val="Norml"/>
    <w:link w:val="Bodytext2"/>
    <w:qFormat/>
    <w:pPr>
      <w:widowControl w:val="0"/>
      <w:shd w:val="clear" w:color="auto" w:fill="FFFFFF"/>
      <w:spacing w:after="0" w:line="466" w:lineRule="exact"/>
      <w:ind w:hanging="74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njt.hu/jogszabaly/2020-135-00-00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oglalkoztatas@feje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2555</Words>
  <Characters>17635</Characters>
  <Application>Microsoft Office Word</Application>
  <DocSecurity>0</DocSecurity>
  <Lines>146</Lines>
  <Paragraphs>40</Paragraphs>
  <ScaleCrop>false</ScaleCrop>
  <Company>NFSZ</Company>
  <LinksUpToDate>false</LinksUpToDate>
  <CharactersWithSpaces>20150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14</cp:revision>
  <dcterms:created xsi:type="dcterms:W3CDTF">2025-07-30T12:48:00Z</dcterms:created>
  <dcterms:modified xsi:type="dcterms:W3CDTF">2025-07-30T13:05:00Z</dcterms:modified>
</cp:coreProperties>
</file>